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A3A83">
      <w:pPr>
        <w:pStyle w:val="2"/>
      </w:pPr>
      <w:bookmarkStart w:id="0" w:name="_Toc520292924"/>
      <w:r>
        <w:rPr>
          <w:rFonts w:hint="eastAsia"/>
          <w:lang w:eastAsia="zh-CN"/>
        </w:rPr>
        <w:t>一．</w:t>
      </w:r>
      <w:r>
        <w:rPr>
          <w:rFonts w:hint="eastAsia"/>
        </w:rPr>
        <w:t>微观数据库</w:t>
      </w:r>
      <w:bookmarkEnd w:id="0"/>
    </w:p>
    <w:p w14:paraId="6C1D0E20">
      <w:pPr>
        <w:rPr>
          <w:rFonts w:asciiTheme="minorEastAsia" w:hAnsiTheme="minorEastAsia" w:eastAsiaTheme="minorEastAsia"/>
          <w:color w:val="000000" w:themeColor="text1"/>
          <w:sz w:val="24"/>
          <w14:textFill>
            <w14:solidFill>
              <w14:schemeClr w14:val="tx1"/>
            </w14:solidFill>
          </w14:textFill>
        </w:rPr>
      </w:pPr>
      <w:bookmarkStart w:id="1" w:name="_Toc520292925"/>
      <w:r>
        <w:rPr>
          <w:rFonts w:hint="eastAsia" w:asciiTheme="minorEastAsia" w:hAnsiTheme="minorEastAsia" w:eastAsiaTheme="minorEastAsia"/>
          <w:color w:val="000000" w:themeColor="text1"/>
          <w:sz w:val="24"/>
          <w14:textFill>
            <w14:solidFill>
              <w14:schemeClr w14:val="tx1"/>
            </w14:solidFill>
          </w14:textFill>
        </w:rPr>
        <w:t>（一）使用方式：</w:t>
      </w:r>
    </w:p>
    <w:p w14:paraId="6BEBD2F5">
      <w:pPr>
        <w:ind w:firstLine="480" w:firstLineChars="200"/>
      </w:pPr>
      <w:r>
        <w:rPr>
          <w:rFonts w:hint="eastAsia" w:asciiTheme="minorEastAsia" w:hAnsiTheme="minorEastAsia" w:eastAsiaTheme="minorEastAsia"/>
          <w:color w:val="000000" w:themeColor="text1"/>
          <w:sz w:val="24"/>
          <w14:textFill>
            <w14:solidFill>
              <w14:schemeClr w14:val="tx1"/>
            </w14:solidFill>
          </w14:textFill>
        </w:rPr>
        <w:t>1</w:t>
      </w:r>
      <w:r>
        <w:rPr>
          <w:rFonts w:asciiTheme="minorEastAsia" w:hAnsiTheme="minorEastAsia" w:eastAsiaTheme="minorEastAsia"/>
          <w:color w:val="000000" w:themeColor="text1"/>
          <w:sz w:val="24"/>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经济学院云平台</w:t>
      </w:r>
      <w:r>
        <w:fldChar w:fldCharType="begin"/>
      </w:r>
      <w:r>
        <w:instrText xml:space="preserve"> HYPERLINK "http://192.168.130.15/Citrix/StoreWeb/" </w:instrText>
      </w:r>
      <w:r>
        <w:fldChar w:fldCharType="separate"/>
      </w:r>
      <w:r>
        <w:rPr>
          <w:rStyle w:val="13"/>
        </w:rPr>
        <w:t>http://192.168.130.15/Citrix/StoreWeb/</w:t>
      </w:r>
      <w:r>
        <w:rPr>
          <w:rStyle w:val="13"/>
        </w:rPr>
        <w:fldChar w:fldCharType="end"/>
      </w:r>
      <w:r>
        <w:rPr>
          <w:rFonts w:hint="eastAsia"/>
        </w:rPr>
        <w:t>，</w:t>
      </w:r>
      <w:r>
        <w:rPr>
          <w:rFonts w:hint="eastAsia" w:asciiTheme="minorEastAsia" w:hAnsiTheme="minorEastAsia" w:eastAsiaTheme="minorEastAsia"/>
          <w:color w:val="000000" w:themeColor="text1"/>
          <w:sz w:val="24"/>
          <w14:textFill>
            <w14:solidFill>
              <w14:schemeClr w14:val="tx1"/>
            </w14:solidFill>
          </w14:textFill>
        </w:rPr>
        <w:t>用户登录云平台后就可以使用了。</w:t>
      </w:r>
    </w:p>
    <w:p w14:paraId="2FAEA56F">
      <w:pPr>
        <w:pStyle w:val="18"/>
        <w:spacing w:line="360" w:lineRule="auto"/>
        <w:ind w:firstLine="424" w:firstLineChars="177"/>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 xml:space="preserve">2. </w:t>
      </w:r>
      <w:r>
        <w:rPr>
          <w:rFonts w:hint="eastAsia" w:asciiTheme="minorEastAsia" w:hAnsiTheme="minorEastAsia" w:eastAsiaTheme="minorEastAsia"/>
          <w:color w:val="000000" w:themeColor="text1"/>
          <w:sz w:val="24"/>
          <w14:textFill>
            <w14:solidFill>
              <w14:schemeClr w14:val="tx1"/>
            </w14:solidFill>
          </w14:textFill>
        </w:rPr>
        <w:t>经济学院工作站实验室（经济学院方楼</w:t>
      </w:r>
      <w:r>
        <w:rPr>
          <w:rFonts w:hint="eastAsia" w:asciiTheme="minorEastAsia" w:hAnsiTheme="minorEastAsia" w:eastAsiaTheme="minorEastAsia"/>
          <w:color w:val="000000" w:themeColor="text1"/>
          <w:sz w:val="24"/>
          <w:lang w:val="en-US" w:eastAsia="zh-CN"/>
          <w14:textFill>
            <w14:solidFill>
              <w14:schemeClr w14:val="tx1"/>
            </w14:solidFill>
          </w14:textFill>
        </w:rPr>
        <w:t>405、</w:t>
      </w:r>
      <w:r>
        <w:rPr>
          <w:rFonts w:hint="eastAsia" w:asciiTheme="minorEastAsia" w:hAnsiTheme="minorEastAsia" w:eastAsiaTheme="minorEastAsia"/>
          <w:color w:val="000000" w:themeColor="text1"/>
          <w:sz w:val="24"/>
          <w14:textFill>
            <w14:solidFill>
              <w14:schemeClr w14:val="tx1"/>
            </w14:solidFill>
          </w14:textFill>
        </w:rPr>
        <w:t>4</w:t>
      </w:r>
      <w:r>
        <w:rPr>
          <w:rFonts w:asciiTheme="minorEastAsia" w:hAnsiTheme="minorEastAsia" w:eastAsiaTheme="minorEastAsia"/>
          <w:color w:val="000000" w:themeColor="text1"/>
          <w:sz w:val="24"/>
          <w14:textFill>
            <w14:solidFill>
              <w14:schemeClr w14:val="tx1"/>
            </w14:solidFill>
          </w14:textFill>
        </w:rPr>
        <w:t>06</w:t>
      </w:r>
      <w:r>
        <w:rPr>
          <w:rFonts w:hint="eastAsia" w:asciiTheme="minorEastAsia" w:hAnsiTheme="minorEastAsia" w:eastAsiaTheme="minorEastAsia"/>
          <w:color w:val="000000" w:themeColor="text1"/>
          <w:sz w:val="24"/>
          <w14:textFill>
            <w14:solidFill>
              <w14:schemeClr w14:val="tx1"/>
            </w14:solidFill>
          </w14:textFill>
        </w:rPr>
        <w:t>实验室），工作站内第2个系统</w:t>
      </w:r>
      <w:r>
        <w:rPr>
          <w:rFonts w:hint="eastAsia" w:asciiTheme="minorEastAsia" w:hAnsiTheme="minorEastAsia" w:eastAsiaTheme="minorEastAsia"/>
          <w:color w:val="000000" w:themeColor="text1"/>
          <w:sz w:val="24"/>
          <w:lang w:val="en-US"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微观经济数据系统。</w:t>
      </w:r>
    </w:p>
    <w:p w14:paraId="17D0E6A4">
      <w:pPr>
        <w:pStyle w:val="18"/>
        <w:spacing w:line="360" w:lineRule="auto"/>
        <w:ind w:firstLine="424" w:firstLineChars="177"/>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使用云平台和工作站需要在科研实验管理平台（http://222.30.38.217/jeesite/f）登录预约使用。具体预约方法可以咨询</w:t>
      </w:r>
      <w:r>
        <w:rPr>
          <w:rFonts w:hint="eastAsia" w:ascii="微软雅黑" w:hAnsi="微软雅黑" w:eastAsia="微软雅黑"/>
          <w:color w:val="333333"/>
          <w:sz w:val="26"/>
          <w:szCs w:val="26"/>
          <w:shd w:val="clear" w:color="auto" w:fill="FFFFFF"/>
          <w:lang w:val="en-US" w:eastAsia="zh-CN"/>
        </w:rPr>
        <w:t>23509074</w:t>
      </w: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  </w:t>
      </w:r>
      <w:r>
        <w:rPr>
          <w:rFonts w:hint="eastAsia" w:ascii="微软雅黑" w:hAnsi="微软雅黑" w:eastAsia="微软雅黑"/>
          <w:color w:val="333333"/>
          <w:sz w:val="26"/>
          <w:szCs w:val="26"/>
          <w:shd w:val="clear" w:color="auto" w:fill="FFFFFF"/>
        </w:rPr>
        <w:t>23498985</w:t>
      </w:r>
      <w:r>
        <w:rPr>
          <w:rFonts w:hint="eastAsia" w:asciiTheme="minorEastAsia" w:hAnsiTheme="minorEastAsia" w:eastAsiaTheme="minorEastAsia"/>
          <w:color w:val="000000" w:themeColor="text1"/>
          <w:sz w:val="24"/>
          <w14:textFill>
            <w14:solidFill>
              <w14:schemeClr w14:val="tx1"/>
            </w14:solidFill>
          </w14:textFill>
        </w:rPr>
        <w:t xml:space="preserve">。 </w:t>
      </w:r>
      <w:r>
        <w:rPr>
          <w:rFonts w:asciiTheme="minorEastAsia" w:hAnsiTheme="minorEastAsia" w:eastAsiaTheme="minorEastAsia"/>
          <w:color w:val="000000" w:themeColor="text1"/>
          <w:sz w:val="24"/>
          <w14:textFill>
            <w14:solidFill>
              <w14:schemeClr w14:val="tx1"/>
            </w14:solidFill>
          </w14:textFill>
        </w:rPr>
        <w:t xml:space="preserve">   </w:t>
      </w:r>
    </w:p>
    <w:p w14:paraId="1B71B17A">
      <w:pPr>
        <w:spacing w:line="360" w:lineRule="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（二）数据内容</w:t>
      </w:r>
    </w:p>
    <w:bookmarkEnd w:id="1"/>
    <w:p w14:paraId="13AF5C56">
      <w:pPr>
        <w:pStyle w:val="18"/>
        <w:spacing w:line="360" w:lineRule="auto"/>
        <w:ind w:left="0" w:leftChars="0" w:firstLine="482" w:firstLineChars="200"/>
        <w:rPr>
          <w:rFonts w:hint="eastAsia" w:ascii="宋体" w:hAnsi="宋体" w:eastAsia="宋体"/>
          <w:b/>
          <w:color w:val="000000"/>
          <w:sz w:val="24"/>
          <w:lang w:val="en-US" w:eastAsia="zh-CN"/>
        </w:rPr>
      </w:pPr>
      <w:r>
        <w:rPr>
          <w:rFonts w:hint="eastAsia" w:ascii="宋体" w:hAnsi="宋体"/>
          <w:b/>
          <w:color w:val="000000"/>
          <w:sz w:val="24"/>
        </w:rPr>
        <w:t>1．中国工业企业数据</w:t>
      </w:r>
      <w:r>
        <w:rPr>
          <w:rFonts w:hint="eastAsia" w:ascii="宋体" w:hAnsi="宋体"/>
          <w:b/>
          <w:color w:val="000000"/>
          <w:sz w:val="24"/>
          <w:lang w:val="en-US" w:eastAsia="zh-CN"/>
        </w:rPr>
        <w:t>库</w:t>
      </w:r>
    </w:p>
    <w:p w14:paraId="3326C138">
      <w:pPr>
        <w:pStyle w:val="18"/>
        <w:spacing w:line="360" w:lineRule="auto"/>
        <w:ind w:left="420" w:leftChars="0" w:firstLine="60" w:firstLineChars="25"/>
        <w:rPr>
          <w:rFonts w:ascii="宋体" w:hAnsi="宋体"/>
          <w:color w:val="000000"/>
          <w:sz w:val="24"/>
        </w:rPr>
      </w:pPr>
      <w:r>
        <w:rPr>
          <w:rFonts w:hint="eastAsia" w:ascii="宋体" w:hAnsi="宋体"/>
          <w:color w:val="000000"/>
          <w:sz w:val="24"/>
        </w:rPr>
        <w:t>时间范围：1996-2013，年度数据</w:t>
      </w:r>
    </w:p>
    <w:p w14:paraId="4F8A2D31">
      <w:pPr>
        <w:pStyle w:val="18"/>
        <w:spacing w:line="360" w:lineRule="auto"/>
        <w:ind w:left="0" w:leftChars="0" w:firstLine="720" w:firstLineChars="300"/>
        <w:rPr>
          <w:rFonts w:ascii="宋体" w:hAnsi="宋体"/>
          <w:color w:val="000000"/>
          <w:sz w:val="24"/>
        </w:rPr>
      </w:pPr>
      <w:r>
        <w:rPr>
          <w:rFonts w:hint="eastAsia" w:ascii="宋体" w:hAnsi="宋体"/>
          <w:color w:val="000000"/>
          <w:sz w:val="24"/>
        </w:rPr>
        <w:t>统计范围：2010年及之前是中国大陆地区销售额500万元以上的工业企业， 2011 年起为2000万元以上的企业。工业的统计口径包括“采掘业”、“制造业”、“电力燃气及水的生产与供应业”三个门类，含盖中国工业制造业40多个大产业，90多个中类、600多个子行业。</w:t>
      </w:r>
    </w:p>
    <w:p w14:paraId="575890AE">
      <w:pPr>
        <w:pStyle w:val="18"/>
        <w:spacing w:line="360" w:lineRule="auto"/>
        <w:ind w:left="0" w:leftChars="0" w:firstLine="720" w:firstLineChars="300"/>
        <w:rPr>
          <w:rFonts w:ascii="宋体" w:hAnsi="宋体"/>
          <w:color w:val="000000"/>
          <w:sz w:val="24"/>
        </w:rPr>
      </w:pPr>
      <w:r>
        <w:rPr>
          <w:rFonts w:hint="eastAsia" w:ascii="宋体" w:hAnsi="宋体"/>
          <w:color w:val="000000"/>
          <w:sz w:val="24"/>
        </w:rPr>
        <w:t>统计变量：包括企业基本情况、企业财务情况、企业生产销售情况等100多个指标。</w:t>
      </w:r>
    </w:p>
    <w:p w14:paraId="60762754">
      <w:pPr>
        <w:pStyle w:val="18"/>
        <w:spacing w:line="360" w:lineRule="auto"/>
        <w:ind w:left="360" w:firstLine="0" w:firstLineChars="0"/>
        <w:rPr>
          <w:rFonts w:ascii="宋体" w:hAnsi="宋体"/>
          <w:b/>
          <w:color w:val="000000"/>
          <w:sz w:val="24"/>
        </w:rPr>
      </w:pPr>
      <w:r>
        <w:rPr>
          <w:rFonts w:hint="eastAsia" w:ascii="宋体" w:hAnsi="宋体"/>
          <w:b/>
          <w:color w:val="000000"/>
          <w:sz w:val="24"/>
        </w:rPr>
        <w:t>2．中国海关进出口商品数据库</w:t>
      </w:r>
    </w:p>
    <w:p w14:paraId="2AA4DF63">
      <w:pPr>
        <w:pStyle w:val="18"/>
        <w:spacing w:line="360" w:lineRule="auto"/>
        <w:rPr>
          <w:rFonts w:ascii="宋体" w:hAnsi="宋体"/>
          <w:color w:val="000000"/>
          <w:sz w:val="24"/>
        </w:rPr>
      </w:pPr>
      <w:r>
        <w:rPr>
          <w:rFonts w:hint="eastAsia" w:ascii="宋体" w:hAnsi="宋体"/>
          <w:color w:val="000000"/>
          <w:sz w:val="24"/>
        </w:rPr>
        <w:t>时间范围：2000-2016年，2000-2006月度数据，2007-2016年度数据。</w:t>
      </w:r>
    </w:p>
    <w:p w14:paraId="1CB8994A">
      <w:pPr>
        <w:pStyle w:val="18"/>
        <w:spacing w:line="360" w:lineRule="auto"/>
        <w:ind w:left="0" w:leftChars="0" w:firstLine="0" w:firstLineChars="0"/>
        <w:rPr>
          <w:rFonts w:ascii="宋体" w:hAnsi="宋体"/>
          <w:color w:val="000000"/>
          <w:sz w:val="24"/>
        </w:rPr>
      </w:pPr>
      <w:r>
        <w:rPr>
          <w:rFonts w:hint="eastAsia" w:ascii="宋体" w:hAnsi="宋体"/>
          <w:color w:val="000000"/>
          <w:sz w:val="24"/>
        </w:rPr>
        <w:t>统计范围：</w:t>
      </w:r>
      <w:r>
        <w:rPr>
          <w:rFonts w:ascii="宋体" w:hAnsi="宋体"/>
          <w:color w:val="000000"/>
          <w:sz w:val="24"/>
        </w:rPr>
        <w:t>对细化至8位海关编码的商品面向全球所有国家（地区）的进出口数量、金额数据进行统计，是以实际进出口货物作为统计和分析的对象</w:t>
      </w:r>
      <w:r>
        <w:rPr>
          <w:rFonts w:hint="eastAsia" w:ascii="宋体" w:hAnsi="宋体"/>
          <w:color w:val="000000"/>
          <w:sz w:val="24"/>
        </w:rPr>
        <w:t>。</w:t>
      </w:r>
    </w:p>
    <w:p w14:paraId="2B610323">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统计变量：含</w:t>
      </w:r>
      <w:r>
        <w:rPr>
          <w:rFonts w:ascii="宋体" w:hAnsi="宋体"/>
          <w:color w:val="000000"/>
          <w:sz w:val="24"/>
        </w:rPr>
        <w:t>进出口货物的</w:t>
      </w:r>
      <w:r>
        <w:rPr>
          <w:rFonts w:hint="eastAsia" w:ascii="宋体" w:hAnsi="宋体"/>
          <w:color w:val="000000"/>
          <w:sz w:val="24"/>
        </w:rPr>
        <w:t>编码，名称，</w:t>
      </w:r>
      <w:r>
        <w:rPr>
          <w:rFonts w:ascii="宋体" w:hAnsi="宋体"/>
          <w:color w:val="000000"/>
          <w:sz w:val="24"/>
        </w:rPr>
        <w:t>数（重）量、价格、国别（地区）、经营单位、境外目的地、境内目的地、贸易方式、运输方式</w:t>
      </w:r>
      <w:r>
        <w:rPr>
          <w:rFonts w:hint="eastAsia" w:ascii="宋体" w:hAnsi="宋体"/>
          <w:color w:val="000000"/>
          <w:sz w:val="24"/>
        </w:rPr>
        <w:t>等变量。2014年及之后变量有所减少。</w:t>
      </w:r>
    </w:p>
    <w:p w14:paraId="4D4E3C2A">
      <w:pPr>
        <w:pStyle w:val="18"/>
        <w:spacing w:line="360" w:lineRule="auto"/>
        <w:ind w:left="360" w:firstLine="0" w:firstLineChars="0"/>
        <w:rPr>
          <w:rFonts w:ascii="宋体" w:hAnsi="宋体"/>
          <w:b/>
          <w:color w:val="000000"/>
          <w:sz w:val="24"/>
        </w:rPr>
      </w:pPr>
      <w:r>
        <w:rPr>
          <w:rFonts w:ascii="宋体" w:hAnsi="宋体"/>
          <w:b/>
          <w:color w:val="000000"/>
          <w:sz w:val="24"/>
        </w:rPr>
        <w:t>3</w:t>
      </w:r>
      <w:r>
        <w:rPr>
          <w:rFonts w:hint="eastAsia" w:ascii="宋体" w:hAnsi="宋体"/>
          <w:b/>
          <w:color w:val="000000"/>
          <w:sz w:val="24"/>
        </w:rPr>
        <w:t>．全国经济普查数据库（2004、2008年，年度数据）</w:t>
      </w:r>
    </w:p>
    <w:p w14:paraId="6AA4B458">
      <w:pPr>
        <w:pStyle w:val="18"/>
        <w:spacing w:line="360" w:lineRule="auto"/>
        <w:ind w:left="360" w:firstLine="0" w:firstLineChars="0"/>
        <w:rPr>
          <w:rFonts w:ascii="宋体" w:hAnsi="宋体"/>
          <w:color w:val="000000"/>
          <w:sz w:val="24"/>
        </w:rPr>
      </w:pPr>
      <w:r>
        <w:rPr>
          <w:rFonts w:hint="eastAsia" w:ascii="宋体" w:hAnsi="宋体"/>
          <w:color w:val="000000"/>
          <w:sz w:val="24"/>
        </w:rPr>
        <w:t>时间范围：2004年、2008年，年度数据库</w:t>
      </w:r>
    </w:p>
    <w:p w14:paraId="651E73FF">
      <w:pPr>
        <w:pStyle w:val="18"/>
        <w:spacing w:line="360" w:lineRule="auto"/>
        <w:ind w:left="0" w:leftChars="0" w:firstLine="420" w:firstLineChars="175"/>
        <w:rPr>
          <w:rFonts w:ascii="宋体" w:hAnsi="宋体"/>
          <w:color w:val="000000"/>
          <w:sz w:val="24"/>
        </w:rPr>
      </w:pPr>
      <w:r>
        <w:rPr>
          <w:rFonts w:hint="eastAsia" w:ascii="宋体" w:hAnsi="宋体"/>
          <w:color w:val="000000"/>
          <w:sz w:val="24"/>
        </w:rPr>
        <w:t>统计范围：</w:t>
      </w:r>
      <w:r>
        <w:rPr>
          <w:rFonts w:ascii="宋体" w:hAnsi="宋体"/>
          <w:color w:val="000000"/>
          <w:sz w:val="24"/>
        </w:rPr>
        <w:t>境内从事第二产业和第三产业的全部法人单位、产业活动单位和个体工商户。普查具体范围包括：采矿业，制造业，电力、燃气及水的生产和供应业，建筑业，交通运输、仓储和邮政业，水利、环境和公共设施管理业，以及公共管理与社会组织等国民经济行业。</w:t>
      </w:r>
    </w:p>
    <w:p w14:paraId="442A7200">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统计变量：包括</w:t>
      </w:r>
      <w:r>
        <w:rPr>
          <w:rFonts w:ascii="宋体" w:hAnsi="宋体"/>
          <w:color w:val="000000"/>
          <w:sz w:val="24"/>
        </w:rPr>
        <w:t>单位基本属性、财务状况、生产经营情况、生产能力、能源消耗、主要生产设备、信息化和科技活动情况等。</w:t>
      </w:r>
    </w:p>
    <w:p w14:paraId="086D9797">
      <w:pPr>
        <w:pStyle w:val="18"/>
        <w:spacing w:line="360" w:lineRule="auto"/>
        <w:ind w:left="360" w:firstLine="0" w:firstLineChars="0"/>
        <w:rPr>
          <w:rFonts w:ascii="宋体" w:hAnsi="宋体"/>
          <w:b/>
          <w:color w:val="000000"/>
          <w:sz w:val="24"/>
        </w:rPr>
      </w:pPr>
      <w:r>
        <w:rPr>
          <w:rFonts w:hint="eastAsia" w:ascii="宋体" w:hAnsi="宋体"/>
          <w:b/>
          <w:color w:val="000000"/>
          <w:sz w:val="24"/>
        </w:rPr>
        <w:t>4. 中国企业污染排放数据库</w:t>
      </w:r>
    </w:p>
    <w:p w14:paraId="2FC71088">
      <w:pPr>
        <w:pStyle w:val="18"/>
        <w:spacing w:line="360" w:lineRule="auto"/>
        <w:ind w:left="360" w:firstLine="0" w:firstLineChars="0"/>
        <w:rPr>
          <w:rFonts w:ascii="宋体" w:hAnsi="宋体"/>
          <w:color w:val="000000"/>
          <w:sz w:val="24"/>
        </w:rPr>
      </w:pPr>
      <w:r>
        <w:rPr>
          <w:rFonts w:hint="eastAsia" w:ascii="宋体" w:hAnsi="宋体"/>
          <w:color w:val="000000"/>
          <w:sz w:val="24"/>
        </w:rPr>
        <w:t>时间范围：1998-2010年，年度数据</w:t>
      </w:r>
    </w:p>
    <w:p w14:paraId="7AFF0492">
      <w:pPr>
        <w:pStyle w:val="18"/>
        <w:spacing w:line="360" w:lineRule="auto"/>
        <w:ind w:left="360" w:firstLine="0" w:firstLineChars="0"/>
        <w:rPr>
          <w:rFonts w:ascii="宋体" w:hAnsi="宋体"/>
          <w:color w:val="000000"/>
          <w:sz w:val="24"/>
        </w:rPr>
      </w:pPr>
      <w:r>
        <w:rPr>
          <w:rFonts w:hint="eastAsia" w:ascii="宋体" w:hAnsi="宋体"/>
          <w:color w:val="000000"/>
          <w:sz w:val="24"/>
        </w:rPr>
        <w:t>统计范围：全国各地区污染排放企业</w:t>
      </w:r>
    </w:p>
    <w:p w14:paraId="7AB6D428">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统计变量：含企业基本信息、及煤炭、水、油、气等污染物的排放指标等40多个指标。</w:t>
      </w:r>
    </w:p>
    <w:p w14:paraId="3E89B6E9">
      <w:pPr>
        <w:pStyle w:val="18"/>
        <w:spacing w:line="360" w:lineRule="auto"/>
        <w:ind w:left="360" w:firstLine="0" w:firstLineChars="0"/>
        <w:rPr>
          <w:rFonts w:ascii="宋体" w:hAnsi="宋体"/>
          <w:b/>
          <w:color w:val="000000"/>
          <w:sz w:val="24"/>
        </w:rPr>
      </w:pPr>
      <w:r>
        <w:rPr>
          <w:rFonts w:ascii="宋体" w:hAnsi="宋体"/>
          <w:b/>
          <w:color w:val="000000"/>
          <w:sz w:val="24"/>
        </w:rPr>
        <w:t>5</w:t>
      </w:r>
      <w:r>
        <w:rPr>
          <w:rFonts w:hint="eastAsia" w:ascii="宋体" w:hAnsi="宋体"/>
          <w:b/>
          <w:color w:val="000000"/>
          <w:sz w:val="24"/>
        </w:rPr>
        <w:t>. 工商企业注册信息数据库</w:t>
      </w:r>
    </w:p>
    <w:p w14:paraId="56CC9B1F">
      <w:pPr>
        <w:pStyle w:val="18"/>
        <w:spacing w:line="360" w:lineRule="auto"/>
        <w:ind w:firstLine="424" w:firstLineChars="202"/>
        <w:rPr>
          <w:szCs w:val="21"/>
        </w:rPr>
      </w:pPr>
      <w:r>
        <w:rPr>
          <w:rFonts w:hint="eastAsia"/>
          <w:szCs w:val="21"/>
        </w:rPr>
        <w:t>包含工商注册企业的基本情况、股东、股份质押、股份转让、变更记录、企业注销、企业吊销、企业迁出、企业迁入、分支机构、惩罚记录、抵押记录、抵押范围、抵押、抵押变更等200多个指标的相关数据。</w:t>
      </w:r>
    </w:p>
    <w:p w14:paraId="67E46137">
      <w:pPr>
        <w:pStyle w:val="18"/>
        <w:spacing w:line="360" w:lineRule="auto"/>
        <w:ind w:left="360" w:firstLine="0" w:firstLineChars="0"/>
        <w:rPr>
          <w:szCs w:val="21"/>
        </w:rPr>
      </w:pPr>
      <w:r>
        <w:rPr>
          <w:rFonts w:hint="eastAsia"/>
          <w:szCs w:val="21"/>
        </w:rPr>
        <w:t>时间范围：1</w:t>
      </w:r>
      <w:r>
        <w:rPr>
          <w:szCs w:val="21"/>
        </w:rPr>
        <w:t>990</w:t>
      </w:r>
      <w:r>
        <w:rPr>
          <w:rFonts w:hint="eastAsia"/>
          <w:szCs w:val="21"/>
        </w:rPr>
        <w:t>年-2</w:t>
      </w:r>
      <w:r>
        <w:rPr>
          <w:szCs w:val="21"/>
        </w:rPr>
        <w:t>018</w:t>
      </w:r>
      <w:r>
        <w:rPr>
          <w:rFonts w:hint="eastAsia"/>
          <w:szCs w:val="21"/>
        </w:rPr>
        <w:t>年</w:t>
      </w:r>
    </w:p>
    <w:p w14:paraId="33CB1F07">
      <w:pPr>
        <w:pStyle w:val="18"/>
        <w:spacing w:line="360" w:lineRule="auto"/>
        <w:ind w:left="360" w:firstLine="0" w:firstLineChars="0"/>
        <w:rPr>
          <w:szCs w:val="21"/>
        </w:rPr>
      </w:pPr>
      <w:r>
        <w:rPr>
          <w:rFonts w:hint="eastAsia"/>
          <w:szCs w:val="21"/>
        </w:rPr>
        <w:t>数据样本量：5</w:t>
      </w:r>
      <w:r>
        <w:rPr>
          <w:szCs w:val="21"/>
        </w:rPr>
        <w:t>600</w:t>
      </w:r>
      <w:r>
        <w:rPr>
          <w:rFonts w:hint="eastAsia"/>
          <w:szCs w:val="21"/>
        </w:rPr>
        <w:t>多万家</w:t>
      </w:r>
    </w:p>
    <w:p w14:paraId="7C19C1A0">
      <w:pPr>
        <w:pStyle w:val="18"/>
        <w:spacing w:line="360" w:lineRule="auto"/>
        <w:ind w:left="360" w:firstLine="0" w:firstLineChars="0"/>
        <w:rPr>
          <w:rFonts w:ascii="宋体" w:hAnsi="宋体"/>
          <w:b/>
          <w:color w:val="000000"/>
          <w:sz w:val="24"/>
        </w:rPr>
      </w:pPr>
      <w:r>
        <w:rPr>
          <w:rFonts w:hint="eastAsia"/>
          <w:b/>
          <w:sz w:val="24"/>
        </w:rPr>
        <w:t xml:space="preserve">6. </w:t>
      </w:r>
      <w:r>
        <w:rPr>
          <w:rFonts w:hint="eastAsia" w:ascii="宋体" w:hAnsi="宋体"/>
          <w:b/>
          <w:sz w:val="24"/>
        </w:rPr>
        <w:t>工业企业科技活动数据库</w:t>
      </w:r>
    </w:p>
    <w:p w14:paraId="6A05F99B">
      <w:pPr>
        <w:pStyle w:val="18"/>
        <w:spacing w:line="360" w:lineRule="auto"/>
        <w:ind w:left="19" w:leftChars="9" w:firstLine="399" w:firstLineChars="190"/>
        <w:rPr>
          <w:rFonts w:ascii="宋体" w:hAnsi="宋体"/>
          <w:szCs w:val="21"/>
        </w:rPr>
      </w:pPr>
      <w:r>
        <w:rPr>
          <w:rFonts w:hint="eastAsia" w:ascii="宋体" w:hAnsi="宋体"/>
          <w:szCs w:val="21"/>
        </w:rPr>
        <w:t>工业企业科技活动数据库收录了全国及31个省、自治区、直辖市规模以上工业企业科技活动主要数据,是一套较为全面反映我国工业企业科技活动开展情况的微观数据资料。本数据库内容包括企业基本情况、工业企业R&amp;D及相关活动主要指标、R&amp;D人员情况、R&amp;D经费情况、R&amp;D项目情况、企业办研发机构情况、新产品开发及生产情况、自主知识产权及相关情况、政府相关政策落实情况、技术获取和技术改造情况等。数据口径为规模以上工业企业,即年主营业务收入在2000万元及以上的工业企业。</w:t>
      </w:r>
    </w:p>
    <w:p w14:paraId="3B90B0E4">
      <w:pPr>
        <w:pStyle w:val="18"/>
        <w:spacing w:line="360" w:lineRule="auto"/>
        <w:rPr>
          <w:rFonts w:ascii="Calibri" w:hAnsi="Calibri"/>
          <w:sz w:val="24"/>
        </w:rPr>
      </w:pPr>
      <w:r>
        <w:rPr>
          <w:rFonts w:hint="eastAsia"/>
          <w:szCs w:val="21"/>
        </w:rPr>
        <w:t>时间范围：</w:t>
      </w:r>
      <w:r>
        <w:rPr>
          <w:rFonts w:ascii="Calibri" w:hAnsi="Calibri"/>
          <w:sz w:val="24"/>
        </w:rPr>
        <w:t>2011</w:t>
      </w:r>
      <w:r>
        <w:rPr>
          <w:rFonts w:hint="eastAsia" w:ascii="Calibri" w:hAnsi="Calibri"/>
          <w:sz w:val="24"/>
        </w:rPr>
        <w:t>-</w:t>
      </w:r>
      <w:r>
        <w:rPr>
          <w:rFonts w:ascii="Calibri" w:hAnsi="Calibri"/>
          <w:sz w:val="24"/>
        </w:rPr>
        <w:t>2013</w:t>
      </w:r>
      <w:r>
        <w:rPr>
          <w:rFonts w:hint="eastAsia" w:ascii="Calibri" w:hAnsi="Calibri"/>
          <w:sz w:val="24"/>
        </w:rPr>
        <w:t>年</w:t>
      </w:r>
    </w:p>
    <w:p w14:paraId="55705610">
      <w:pPr>
        <w:pStyle w:val="18"/>
        <w:spacing w:line="360" w:lineRule="auto"/>
        <w:ind w:left="360" w:firstLine="0" w:firstLineChars="0"/>
        <w:rPr>
          <w:rFonts w:ascii="宋体" w:hAnsi="宋体"/>
          <w:b/>
          <w:color w:val="000000"/>
          <w:sz w:val="24"/>
        </w:rPr>
      </w:pPr>
      <w:r>
        <w:rPr>
          <w:rFonts w:hint="eastAsia" w:ascii="宋体" w:hAnsi="宋体"/>
          <w:b/>
          <w:color w:val="000000"/>
          <w:sz w:val="24"/>
        </w:rPr>
        <w:t>7．中国价格数据库</w:t>
      </w:r>
    </w:p>
    <w:p w14:paraId="4692F90C">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时间范围：1989-202</w:t>
      </w:r>
      <w:r>
        <w:rPr>
          <w:rFonts w:hint="eastAsia" w:ascii="宋体" w:hAnsi="宋体"/>
          <w:color w:val="000000"/>
          <w:sz w:val="24"/>
          <w:lang w:val="en-US" w:eastAsia="zh-CN"/>
        </w:rPr>
        <w:t>4</w:t>
      </w:r>
      <w:r>
        <w:rPr>
          <w:rFonts w:hint="eastAsia" w:ascii="宋体" w:hAnsi="宋体"/>
          <w:color w:val="000000"/>
          <w:sz w:val="24"/>
        </w:rPr>
        <w:t>，数据采集频率：每月上旬、中旬、下旬</w:t>
      </w:r>
    </w:p>
    <w:p w14:paraId="63B91F59">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 xml:space="preserve">统计范围：全国31个省、市、自治区的区县级数据采集点 </w:t>
      </w:r>
    </w:p>
    <w:p w14:paraId="2EDEEF28">
      <w:pPr>
        <w:pStyle w:val="18"/>
        <w:spacing w:line="360" w:lineRule="auto"/>
        <w:ind w:left="0" w:leftChars="0" w:firstLine="0" w:firstLineChars="0"/>
        <w:rPr>
          <w:rFonts w:ascii="宋体" w:hAnsi="宋体"/>
          <w:color w:val="000000"/>
          <w:sz w:val="24"/>
        </w:rPr>
      </w:pPr>
      <w:r>
        <w:rPr>
          <w:rFonts w:hint="eastAsia" w:ascii="宋体" w:hAnsi="宋体"/>
          <w:color w:val="000000"/>
          <w:sz w:val="24"/>
        </w:rPr>
        <w:t>统计变量：包括最新的工业生产资料价格；日用工业消费品价格；农资价格；国际市场价格；能源市场价格；房地产价格；原粮购销价格；棉花收购价格；农副产品收购价格；生猪、鸡蛋出厂价格；城市居民食品价格；涉农收费；城市居民服务价格；药品价格；汽配价格。</w:t>
      </w:r>
    </w:p>
    <w:p w14:paraId="5C400216">
      <w:pPr>
        <w:pStyle w:val="18"/>
        <w:spacing w:line="360" w:lineRule="auto"/>
        <w:ind w:left="360" w:firstLine="0" w:firstLineChars="0"/>
        <w:rPr>
          <w:rFonts w:ascii="宋体" w:hAnsi="宋体"/>
          <w:b/>
          <w:color w:val="000000"/>
          <w:sz w:val="24"/>
        </w:rPr>
      </w:pPr>
      <w:r>
        <w:rPr>
          <w:rFonts w:hint="eastAsia" w:ascii="宋体" w:hAnsi="宋体"/>
          <w:b/>
          <w:color w:val="000000"/>
          <w:sz w:val="24"/>
        </w:rPr>
        <w:t>8.</w:t>
      </w:r>
      <w:r>
        <w:rPr>
          <w:rFonts w:ascii="宋体" w:hAnsi="宋体"/>
          <w:b/>
          <w:color w:val="000000"/>
          <w:sz w:val="24"/>
        </w:rPr>
        <w:t xml:space="preserve"> </w:t>
      </w:r>
      <w:r>
        <w:rPr>
          <w:rFonts w:hint="eastAsia" w:ascii="宋体" w:hAnsi="宋体"/>
          <w:b/>
          <w:color w:val="000000"/>
          <w:sz w:val="24"/>
        </w:rPr>
        <w:t>FDI market 数据库</w:t>
      </w:r>
    </w:p>
    <w:p w14:paraId="6229C007">
      <w:pPr>
        <w:pStyle w:val="18"/>
        <w:spacing w:line="360" w:lineRule="auto"/>
        <w:ind w:left="360" w:firstLine="0" w:firstLineChars="0"/>
        <w:rPr>
          <w:rFonts w:hint="eastAsia" w:ascii="宋体" w:hAnsi="宋体" w:eastAsia="宋体"/>
          <w:color w:val="000000"/>
          <w:sz w:val="24"/>
          <w:lang w:eastAsia="zh-CN"/>
        </w:rPr>
      </w:pPr>
      <w:r>
        <w:rPr>
          <w:rFonts w:hint="eastAsia" w:ascii="宋体" w:hAnsi="宋体"/>
          <w:color w:val="000000"/>
          <w:sz w:val="24"/>
        </w:rPr>
        <w:t>时间范围： 2017年-2</w:t>
      </w:r>
      <w:r>
        <w:rPr>
          <w:rFonts w:ascii="宋体" w:hAnsi="宋体"/>
          <w:color w:val="000000"/>
          <w:sz w:val="24"/>
        </w:rPr>
        <w:t>02</w:t>
      </w:r>
      <w:r>
        <w:rPr>
          <w:rFonts w:hint="eastAsia" w:ascii="宋体" w:hAnsi="宋体"/>
          <w:color w:val="000000"/>
          <w:sz w:val="24"/>
          <w:lang w:val="en-US" w:eastAsia="zh-CN"/>
        </w:rPr>
        <w:t>4</w:t>
      </w:r>
      <w:r>
        <w:rPr>
          <w:rFonts w:hint="eastAsia" w:ascii="宋体" w:hAnsi="宋体"/>
          <w:color w:val="000000"/>
          <w:sz w:val="24"/>
        </w:rPr>
        <w:t>年，年度数据</w:t>
      </w:r>
    </w:p>
    <w:p w14:paraId="6F5A7824">
      <w:pPr>
        <w:spacing w:line="276" w:lineRule="auto"/>
        <w:jc w:val="left"/>
        <w:rPr>
          <w:rFonts w:ascii="宋体" w:hAnsi="宋体"/>
          <w:color w:val="000000"/>
          <w:sz w:val="24"/>
        </w:rPr>
      </w:pPr>
      <w:r>
        <w:rPr>
          <w:rFonts w:hint="eastAsia" w:ascii="宋体" w:hAnsi="宋体"/>
          <w:color w:val="000000"/>
          <w:sz w:val="24"/>
        </w:rPr>
        <w:t xml:space="preserve">   数据库介绍：fDi Markets数据库隶属英国金融时报旗下，是当今市场上最全面的跨境绿地投资在线数据库。包含投资金额、标的国、母公司名称、子公司名称、创造就业量等二十个子项，可以追踪和认识在海外投资公司情况。</w:t>
      </w:r>
    </w:p>
    <w:p w14:paraId="44EE4D12">
      <w:pPr>
        <w:spacing w:line="276" w:lineRule="auto"/>
        <w:ind w:firstLine="480" w:firstLineChars="200"/>
        <w:jc w:val="left"/>
        <w:rPr>
          <w:szCs w:val="21"/>
        </w:rPr>
      </w:pPr>
      <w:r>
        <w:rPr>
          <w:rFonts w:hint="eastAsia" w:ascii="宋体" w:hAnsi="宋体"/>
          <w:color w:val="000000"/>
          <w:sz w:val="24"/>
        </w:rPr>
        <w:t>数据样本：</w:t>
      </w:r>
    </w:p>
    <w:tbl>
      <w:tblPr>
        <w:tblStyle w:val="9"/>
        <w:tblW w:w="966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71"/>
        <w:gridCol w:w="796"/>
        <w:gridCol w:w="953"/>
        <w:gridCol w:w="809"/>
        <w:gridCol w:w="888"/>
        <w:gridCol w:w="1005"/>
        <w:gridCol w:w="1141"/>
        <w:gridCol w:w="1140"/>
        <w:gridCol w:w="917"/>
        <w:gridCol w:w="1140"/>
      </w:tblGrid>
      <w:tr w14:paraId="4C13F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4" w:hRule="atLeast"/>
        </w:trPr>
        <w:tc>
          <w:tcPr>
            <w:tcW w:w="871" w:type="dxa"/>
            <w:shd w:val="clear" w:color="auto" w:fill="FFFFFF"/>
            <w:vAlign w:val="center"/>
          </w:tcPr>
          <w:p w14:paraId="7A6384A7">
            <w:pPr>
              <w:spacing w:line="276" w:lineRule="auto"/>
              <w:ind w:firstLine="420" w:firstLineChars="200"/>
              <w:jc w:val="left"/>
              <w:rPr>
                <w:szCs w:val="21"/>
              </w:rPr>
            </w:pPr>
            <w:r>
              <w:rPr>
                <w:szCs w:val="21"/>
              </w:rPr>
              <w:t>Project Date</w:t>
            </w:r>
          </w:p>
        </w:tc>
        <w:tc>
          <w:tcPr>
            <w:tcW w:w="796" w:type="dxa"/>
            <w:shd w:val="clear" w:color="auto" w:fill="FFFFFF"/>
            <w:vAlign w:val="center"/>
          </w:tcPr>
          <w:p w14:paraId="00016E02">
            <w:pPr>
              <w:spacing w:line="276" w:lineRule="auto"/>
              <w:ind w:firstLine="420" w:firstLineChars="200"/>
              <w:jc w:val="left"/>
              <w:rPr>
                <w:szCs w:val="21"/>
              </w:rPr>
            </w:pPr>
            <w:r>
              <w:rPr>
                <w:szCs w:val="21"/>
              </w:rPr>
              <w:t>Investing Company</w:t>
            </w:r>
          </w:p>
        </w:tc>
        <w:tc>
          <w:tcPr>
            <w:tcW w:w="953" w:type="dxa"/>
            <w:shd w:val="clear" w:color="auto" w:fill="FFFFFF"/>
            <w:vAlign w:val="center"/>
          </w:tcPr>
          <w:p w14:paraId="5A35FF1F">
            <w:pPr>
              <w:spacing w:line="276" w:lineRule="auto"/>
              <w:ind w:firstLine="420" w:firstLineChars="200"/>
              <w:jc w:val="left"/>
              <w:rPr>
                <w:szCs w:val="21"/>
              </w:rPr>
            </w:pPr>
            <w:r>
              <w:rPr>
                <w:szCs w:val="21"/>
              </w:rPr>
              <w:t>Parent Company</w:t>
            </w:r>
          </w:p>
        </w:tc>
        <w:tc>
          <w:tcPr>
            <w:tcW w:w="809" w:type="dxa"/>
            <w:shd w:val="clear" w:color="auto" w:fill="FFFFFF"/>
            <w:vAlign w:val="center"/>
          </w:tcPr>
          <w:p w14:paraId="774AC49A">
            <w:pPr>
              <w:spacing w:line="276" w:lineRule="auto"/>
              <w:ind w:firstLine="420" w:firstLineChars="200"/>
              <w:jc w:val="left"/>
              <w:rPr>
                <w:szCs w:val="21"/>
              </w:rPr>
            </w:pPr>
            <w:r>
              <w:rPr>
                <w:szCs w:val="21"/>
              </w:rPr>
              <w:t>Source Country</w:t>
            </w:r>
          </w:p>
        </w:tc>
        <w:tc>
          <w:tcPr>
            <w:tcW w:w="888" w:type="dxa"/>
            <w:shd w:val="clear" w:color="auto" w:fill="FFFFFF"/>
            <w:vAlign w:val="center"/>
          </w:tcPr>
          <w:p w14:paraId="138525B6">
            <w:pPr>
              <w:spacing w:line="276" w:lineRule="auto"/>
              <w:ind w:firstLine="420" w:firstLineChars="200"/>
              <w:jc w:val="left"/>
              <w:rPr>
                <w:szCs w:val="21"/>
              </w:rPr>
            </w:pPr>
            <w:r>
              <w:rPr>
                <w:szCs w:val="21"/>
              </w:rPr>
              <w:t>Source State</w:t>
            </w:r>
          </w:p>
        </w:tc>
        <w:tc>
          <w:tcPr>
            <w:tcW w:w="1005" w:type="dxa"/>
            <w:shd w:val="clear" w:color="auto" w:fill="FFFFFF"/>
            <w:vAlign w:val="center"/>
          </w:tcPr>
          <w:p w14:paraId="15D04644">
            <w:pPr>
              <w:spacing w:line="276" w:lineRule="auto"/>
              <w:ind w:firstLine="420" w:firstLineChars="200"/>
              <w:jc w:val="left"/>
              <w:rPr>
                <w:szCs w:val="21"/>
              </w:rPr>
            </w:pPr>
            <w:r>
              <w:rPr>
                <w:szCs w:val="21"/>
              </w:rPr>
              <w:t>Source City</w:t>
            </w:r>
          </w:p>
        </w:tc>
        <w:tc>
          <w:tcPr>
            <w:tcW w:w="1141" w:type="dxa"/>
            <w:shd w:val="clear" w:color="auto" w:fill="FFFFFF"/>
            <w:vAlign w:val="center"/>
          </w:tcPr>
          <w:p w14:paraId="016CAD63">
            <w:pPr>
              <w:spacing w:line="276" w:lineRule="auto"/>
              <w:ind w:firstLine="420" w:firstLineChars="200"/>
              <w:jc w:val="left"/>
              <w:rPr>
                <w:szCs w:val="21"/>
              </w:rPr>
            </w:pPr>
            <w:r>
              <w:rPr>
                <w:szCs w:val="21"/>
              </w:rPr>
              <w:t>Destination Country</w:t>
            </w:r>
          </w:p>
        </w:tc>
        <w:tc>
          <w:tcPr>
            <w:tcW w:w="1140" w:type="dxa"/>
            <w:shd w:val="clear" w:color="auto" w:fill="FFFFFF"/>
            <w:vAlign w:val="center"/>
          </w:tcPr>
          <w:p w14:paraId="22D4C1E2">
            <w:pPr>
              <w:spacing w:line="276" w:lineRule="auto"/>
              <w:ind w:firstLine="420" w:firstLineChars="200"/>
              <w:jc w:val="left"/>
              <w:rPr>
                <w:szCs w:val="21"/>
              </w:rPr>
            </w:pPr>
            <w:r>
              <w:rPr>
                <w:szCs w:val="21"/>
              </w:rPr>
              <w:t>Destination State</w:t>
            </w:r>
          </w:p>
        </w:tc>
        <w:tc>
          <w:tcPr>
            <w:tcW w:w="917" w:type="dxa"/>
            <w:shd w:val="clear" w:color="auto" w:fill="FFFFFF"/>
            <w:vAlign w:val="center"/>
          </w:tcPr>
          <w:p w14:paraId="11188381">
            <w:pPr>
              <w:spacing w:line="276" w:lineRule="auto"/>
              <w:ind w:firstLine="420" w:firstLineChars="200"/>
              <w:jc w:val="left"/>
              <w:rPr>
                <w:szCs w:val="21"/>
              </w:rPr>
            </w:pPr>
            <w:r>
              <w:rPr>
                <w:szCs w:val="21"/>
              </w:rPr>
              <w:t>Admin Region</w:t>
            </w:r>
          </w:p>
        </w:tc>
        <w:tc>
          <w:tcPr>
            <w:tcW w:w="1140" w:type="dxa"/>
            <w:shd w:val="clear" w:color="auto" w:fill="FFFFFF"/>
            <w:vAlign w:val="center"/>
          </w:tcPr>
          <w:p w14:paraId="19D1DBA1">
            <w:pPr>
              <w:spacing w:line="276" w:lineRule="auto"/>
              <w:ind w:firstLine="420" w:firstLineChars="200"/>
              <w:jc w:val="left"/>
              <w:rPr>
                <w:szCs w:val="21"/>
              </w:rPr>
            </w:pPr>
            <w:r>
              <w:rPr>
                <w:szCs w:val="21"/>
              </w:rPr>
              <w:t>Destination City</w:t>
            </w:r>
          </w:p>
        </w:tc>
      </w:tr>
      <w:tr w14:paraId="70409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25" w:hRule="atLeast"/>
        </w:trPr>
        <w:tc>
          <w:tcPr>
            <w:tcW w:w="871" w:type="dxa"/>
            <w:shd w:val="clear" w:color="auto" w:fill="FFFFFF"/>
            <w:vAlign w:val="center"/>
          </w:tcPr>
          <w:p w14:paraId="52C94FAE">
            <w:pPr>
              <w:spacing w:line="276" w:lineRule="auto"/>
              <w:ind w:firstLine="420" w:firstLineChars="200"/>
              <w:jc w:val="left"/>
              <w:rPr>
                <w:szCs w:val="21"/>
              </w:rPr>
            </w:pPr>
            <w:r>
              <w:rPr>
                <w:szCs w:val="21"/>
              </w:rPr>
              <w:t>Dec 2016</w:t>
            </w:r>
          </w:p>
        </w:tc>
        <w:tc>
          <w:tcPr>
            <w:tcW w:w="796" w:type="dxa"/>
            <w:shd w:val="clear" w:color="auto" w:fill="FFFFFF"/>
            <w:vAlign w:val="center"/>
          </w:tcPr>
          <w:p w14:paraId="40649591">
            <w:pPr>
              <w:spacing w:line="276" w:lineRule="auto"/>
              <w:ind w:firstLine="420" w:firstLineChars="200"/>
              <w:jc w:val="left"/>
              <w:rPr>
                <w:szCs w:val="21"/>
              </w:rPr>
            </w:pPr>
            <w:r>
              <w:rPr>
                <w:szCs w:val="21"/>
              </w:rPr>
              <w:t>Cainiao Smart Logistics Network</w:t>
            </w:r>
          </w:p>
        </w:tc>
        <w:tc>
          <w:tcPr>
            <w:tcW w:w="953" w:type="dxa"/>
            <w:shd w:val="clear" w:color="auto" w:fill="FFFFFF"/>
            <w:vAlign w:val="center"/>
          </w:tcPr>
          <w:p w14:paraId="4ED8F7F5">
            <w:pPr>
              <w:spacing w:line="276" w:lineRule="auto"/>
              <w:ind w:firstLine="420" w:firstLineChars="200"/>
              <w:jc w:val="left"/>
              <w:rPr>
                <w:szCs w:val="21"/>
              </w:rPr>
            </w:pPr>
            <w:r>
              <w:rPr>
                <w:szCs w:val="21"/>
              </w:rPr>
              <w:t>Alibaba Group</w:t>
            </w:r>
          </w:p>
        </w:tc>
        <w:tc>
          <w:tcPr>
            <w:tcW w:w="809" w:type="dxa"/>
            <w:shd w:val="clear" w:color="auto" w:fill="FFFFFF"/>
            <w:vAlign w:val="center"/>
          </w:tcPr>
          <w:p w14:paraId="30194B2B">
            <w:pPr>
              <w:spacing w:line="276" w:lineRule="auto"/>
              <w:ind w:firstLine="420" w:firstLineChars="200"/>
              <w:jc w:val="left"/>
              <w:rPr>
                <w:szCs w:val="21"/>
              </w:rPr>
            </w:pPr>
            <w:r>
              <w:rPr>
                <w:szCs w:val="21"/>
              </w:rPr>
              <w:t>China</w:t>
            </w:r>
          </w:p>
        </w:tc>
        <w:tc>
          <w:tcPr>
            <w:tcW w:w="888" w:type="dxa"/>
            <w:shd w:val="clear" w:color="auto" w:fill="FFFFFF"/>
            <w:vAlign w:val="center"/>
          </w:tcPr>
          <w:p w14:paraId="26BB8982">
            <w:pPr>
              <w:spacing w:line="276" w:lineRule="auto"/>
              <w:ind w:firstLine="420" w:firstLineChars="200"/>
              <w:jc w:val="left"/>
              <w:rPr>
                <w:szCs w:val="21"/>
              </w:rPr>
            </w:pPr>
            <w:r>
              <w:rPr>
                <w:szCs w:val="21"/>
              </w:rPr>
              <w:t>Zhejiang</w:t>
            </w:r>
          </w:p>
        </w:tc>
        <w:tc>
          <w:tcPr>
            <w:tcW w:w="1005" w:type="dxa"/>
            <w:shd w:val="clear" w:color="auto" w:fill="FFFFFF"/>
            <w:vAlign w:val="center"/>
          </w:tcPr>
          <w:p w14:paraId="4D5F956D">
            <w:pPr>
              <w:spacing w:line="276" w:lineRule="auto"/>
              <w:ind w:firstLine="420" w:firstLineChars="200"/>
              <w:jc w:val="left"/>
              <w:rPr>
                <w:szCs w:val="21"/>
              </w:rPr>
            </w:pPr>
            <w:r>
              <w:rPr>
                <w:szCs w:val="21"/>
              </w:rPr>
              <w:t>Hangzhou</w:t>
            </w:r>
          </w:p>
        </w:tc>
        <w:tc>
          <w:tcPr>
            <w:tcW w:w="1141" w:type="dxa"/>
            <w:shd w:val="clear" w:color="auto" w:fill="FFFFFF"/>
            <w:vAlign w:val="center"/>
          </w:tcPr>
          <w:p w14:paraId="7D40C057">
            <w:pPr>
              <w:spacing w:line="276" w:lineRule="auto"/>
              <w:ind w:firstLine="420" w:firstLineChars="200"/>
              <w:jc w:val="left"/>
              <w:rPr>
                <w:szCs w:val="21"/>
              </w:rPr>
            </w:pPr>
            <w:r>
              <w:rPr>
                <w:szCs w:val="21"/>
              </w:rPr>
              <w:t>Russia</w:t>
            </w:r>
          </w:p>
        </w:tc>
        <w:tc>
          <w:tcPr>
            <w:tcW w:w="1140" w:type="dxa"/>
            <w:shd w:val="clear" w:color="auto" w:fill="FFFFFF"/>
            <w:vAlign w:val="center"/>
          </w:tcPr>
          <w:p w14:paraId="2F5C1F5F">
            <w:pPr>
              <w:spacing w:line="276" w:lineRule="auto"/>
              <w:ind w:firstLine="420" w:firstLineChars="200"/>
              <w:jc w:val="left"/>
              <w:rPr>
                <w:szCs w:val="21"/>
              </w:rPr>
            </w:pPr>
            <w:r>
              <w:rPr>
                <w:szCs w:val="21"/>
              </w:rPr>
              <w:t>Not Specified</w:t>
            </w:r>
          </w:p>
        </w:tc>
        <w:tc>
          <w:tcPr>
            <w:tcW w:w="917" w:type="dxa"/>
            <w:shd w:val="clear" w:color="auto" w:fill="FFFFFF"/>
            <w:vAlign w:val="center"/>
          </w:tcPr>
          <w:p w14:paraId="7B0A348F">
            <w:pPr>
              <w:spacing w:line="276" w:lineRule="auto"/>
              <w:ind w:firstLine="420" w:firstLineChars="200"/>
              <w:jc w:val="left"/>
              <w:rPr>
                <w:szCs w:val="21"/>
              </w:rPr>
            </w:pPr>
            <w:r>
              <w:rPr>
                <w:szCs w:val="21"/>
              </w:rPr>
              <w:t>Not Specified</w:t>
            </w:r>
          </w:p>
        </w:tc>
        <w:tc>
          <w:tcPr>
            <w:tcW w:w="1140" w:type="dxa"/>
            <w:shd w:val="clear" w:color="auto" w:fill="FFFFFF"/>
            <w:vAlign w:val="center"/>
          </w:tcPr>
          <w:p w14:paraId="2A005650">
            <w:pPr>
              <w:spacing w:line="276" w:lineRule="auto"/>
              <w:ind w:firstLine="420" w:firstLineChars="200"/>
              <w:jc w:val="left"/>
              <w:rPr>
                <w:szCs w:val="21"/>
              </w:rPr>
            </w:pPr>
            <w:r>
              <w:rPr>
                <w:szCs w:val="21"/>
              </w:rPr>
              <w:t>Not Specified</w:t>
            </w:r>
          </w:p>
        </w:tc>
      </w:tr>
    </w:tbl>
    <w:p w14:paraId="35EA81A0">
      <w:pPr>
        <w:spacing w:line="276" w:lineRule="auto"/>
        <w:ind w:firstLine="420" w:firstLineChars="200"/>
        <w:jc w:val="left"/>
        <w:rPr>
          <w:szCs w:val="21"/>
        </w:rPr>
      </w:pPr>
    </w:p>
    <w:tbl>
      <w:tblPr>
        <w:tblStyle w:val="9"/>
        <w:tblW w:w="964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1201"/>
        <w:gridCol w:w="1589"/>
        <w:gridCol w:w="1259"/>
        <w:gridCol w:w="822"/>
        <w:gridCol w:w="946"/>
        <w:gridCol w:w="827"/>
        <w:gridCol w:w="656"/>
        <w:gridCol w:w="828"/>
        <w:gridCol w:w="584"/>
        <w:gridCol w:w="928"/>
      </w:tblGrid>
      <w:tr w14:paraId="2DCC1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867" w:hRule="atLeast"/>
        </w:trPr>
        <w:tc>
          <w:tcPr>
            <w:tcW w:w="1201" w:type="dxa"/>
            <w:shd w:val="clear" w:color="auto" w:fill="FFFFFF"/>
            <w:vAlign w:val="center"/>
          </w:tcPr>
          <w:p w14:paraId="315F97B3">
            <w:pPr>
              <w:spacing w:line="276" w:lineRule="auto"/>
              <w:ind w:firstLine="420" w:firstLineChars="200"/>
              <w:jc w:val="left"/>
              <w:rPr>
                <w:szCs w:val="21"/>
              </w:rPr>
            </w:pPr>
            <w:r>
              <w:rPr>
                <w:szCs w:val="21"/>
              </w:rPr>
              <w:t>Industry Sector</w:t>
            </w:r>
          </w:p>
        </w:tc>
        <w:tc>
          <w:tcPr>
            <w:tcW w:w="1589" w:type="dxa"/>
            <w:shd w:val="clear" w:color="auto" w:fill="FFFFFF"/>
            <w:vAlign w:val="center"/>
          </w:tcPr>
          <w:p w14:paraId="619D372F">
            <w:pPr>
              <w:spacing w:line="276" w:lineRule="auto"/>
              <w:ind w:firstLine="420" w:firstLineChars="200"/>
              <w:jc w:val="left"/>
              <w:rPr>
                <w:szCs w:val="21"/>
              </w:rPr>
            </w:pPr>
            <w:r>
              <w:rPr>
                <w:szCs w:val="21"/>
              </w:rPr>
              <w:t>Sub-Sector</w:t>
            </w:r>
          </w:p>
        </w:tc>
        <w:tc>
          <w:tcPr>
            <w:tcW w:w="1259" w:type="dxa"/>
            <w:shd w:val="clear" w:color="auto" w:fill="FFFFFF"/>
            <w:vAlign w:val="center"/>
          </w:tcPr>
          <w:p w14:paraId="27F20150">
            <w:pPr>
              <w:spacing w:line="276" w:lineRule="auto"/>
              <w:ind w:firstLine="420" w:firstLineChars="200"/>
              <w:jc w:val="left"/>
              <w:rPr>
                <w:szCs w:val="21"/>
              </w:rPr>
            </w:pPr>
            <w:r>
              <w:rPr>
                <w:szCs w:val="21"/>
              </w:rPr>
              <w:t>Cluster</w:t>
            </w:r>
          </w:p>
        </w:tc>
        <w:tc>
          <w:tcPr>
            <w:tcW w:w="822" w:type="dxa"/>
            <w:shd w:val="clear" w:color="auto" w:fill="FFFFFF"/>
            <w:vAlign w:val="center"/>
          </w:tcPr>
          <w:p w14:paraId="758F818F">
            <w:pPr>
              <w:spacing w:line="276" w:lineRule="auto"/>
              <w:ind w:firstLine="420" w:firstLineChars="200"/>
              <w:jc w:val="left"/>
              <w:rPr>
                <w:szCs w:val="21"/>
              </w:rPr>
            </w:pPr>
            <w:r>
              <w:rPr>
                <w:szCs w:val="21"/>
              </w:rPr>
              <w:t>Industry Activity</w:t>
            </w:r>
          </w:p>
        </w:tc>
        <w:tc>
          <w:tcPr>
            <w:tcW w:w="946" w:type="dxa"/>
            <w:shd w:val="clear" w:color="auto" w:fill="FFFFFF"/>
            <w:vAlign w:val="center"/>
          </w:tcPr>
          <w:p w14:paraId="1E3D70CA">
            <w:pPr>
              <w:spacing w:line="276" w:lineRule="auto"/>
              <w:ind w:firstLine="420" w:firstLineChars="200"/>
              <w:jc w:val="left"/>
              <w:rPr>
                <w:szCs w:val="21"/>
              </w:rPr>
            </w:pPr>
            <w:r>
              <w:rPr>
                <w:szCs w:val="21"/>
              </w:rPr>
              <w:t>Capital Investment</w:t>
            </w:r>
          </w:p>
        </w:tc>
        <w:tc>
          <w:tcPr>
            <w:tcW w:w="827" w:type="dxa"/>
            <w:shd w:val="clear" w:color="auto" w:fill="FFFFFF"/>
            <w:vAlign w:val="center"/>
          </w:tcPr>
          <w:p w14:paraId="512C4456">
            <w:pPr>
              <w:spacing w:line="276" w:lineRule="auto"/>
              <w:ind w:firstLine="420" w:firstLineChars="200"/>
              <w:jc w:val="left"/>
              <w:rPr>
                <w:szCs w:val="21"/>
              </w:rPr>
            </w:pPr>
            <w:r>
              <w:rPr>
                <w:szCs w:val="21"/>
              </w:rPr>
              <w:t>Estimated</w:t>
            </w:r>
          </w:p>
        </w:tc>
        <w:tc>
          <w:tcPr>
            <w:tcW w:w="656" w:type="dxa"/>
            <w:shd w:val="clear" w:color="auto" w:fill="FFFFFF"/>
            <w:vAlign w:val="center"/>
          </w:tcPr>
          <w:p w14:paraId="3FAE1B09">
            <w:pPr>
              <w:spacing w:line="276" w:lineRule="auto"/>
              <w:ind w:firstLine="420" w:firstLineChars="200"/>
              <w:jc w:val="left"/>
              <w:rPr>
                <w:szCs w:val="21"/>
              </w:rPr>
            </w:pPr>
            <w:r>
              <w:rPr>
                <w:szCs w:val="21"/>
              </w:rPr>
              <w:t>Jobs Created</w:t>
            </w:r>
          </w:p>
        </w:tc>
        <w:tc>
          <w:tcPr>
            <w:tcW w:w="828" w:type="dxa"/>
            <w:shd w:val="clear" w:color="auto" w:fill="FFFFFF"/>
            <w:vAlign w:val="center"/>
          </w:tcPr>
          <w:p w14:paraId="4BB2AC6B">
            <w:pPr>
              <w:spacing w:line="276" w:lineRule="auto"/>
              <w:ind w:firstLine="420" w:firstLineChars="200"/>
              <w:jc w:val="left"/>
              <w:rPr>
                <w:szCs w:val="21"/>
              </w:rPr>
            </w:pPr>
            <w:r>
              <w:rPr>
                <w:szCs w:val="21"/>
              </w:rPr>
              <w:t>Estimated</w:t>
            </w:r>
          </w:p>
        </w:tc>
        <w:tc>
          <w:tcPr>
            <w:tcW w:w="584" w:type="dxa"/>
            <w:shd w:val="clear" w:color="auto" w:fill="FFFFFF"/>
            <w:vAlign w:val="center"/>
          </w:tcPr>
          <w:p w14:paraId="75739722">
            <w:pPr>
              <w:spacing w:line="276" w:lineRule="auto"/>
              <w:ind w:firstLine="420" w:firstLineChars="200"/>
              <w:jc w:val="left"/>
              <w:rPr>
                <w:szCs w:val="21"/>
              </w:rPr>
            </w:pPr>
            <w:r>
              <w:rPr>
                <w:szCs w:val="21"/>
              </w:rPr>
              <w:t>Project Type</w:t>
            </w:r>
          </w:p>
        </w:tc>
        <w:tc>
          <w:tcPr>
            <w:tcW w:w="928" w:type="dxa"/>
            <w:shd w:val="clear" w:color="auto" w:fill="FFFFFF"/>
            <w:vAlign w:val="center"/>
          </w:tcPr>
          <w:p w14:paraId="584FEEC1">
            <w:pPr>
              <w:spacing w:line="276" w:lineRule="auto"/>
              <w:ind w:firstLine="420" w:firstLineChars="200"/>
              <w:jc w:val="left"/>
              <w:rPr>
                <w:szCs w:val="21"/>
              </w:rPr>
            </w:pPr>
            <w:r>
              <w:rPr>
                <w:szCs w:val="21"/>
              </w:rPr>
              <w:t>Motive Description</w:t>
            </w:r>
          </w:p>
        </w:tc>
      </w:tr>
      <w:tr w14:paraId="251D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153" w:hRule="atLeast"/>
        </w:trPr>
        <w:tc>
          <w:tcPr>
            <w:tcW w:w="1201" w:type="dxa"/>
            <w:shd w:val="clear" w:color="auto" w:fill="FFFFFF"/>
            <w:vAlign w:val="center"/>
          </w:tcPr>
          <w:p w14:paraId="51A36687">
            <w:pPr>
              <w:spacing w:line="276" w:lineRule="auto"/>
              <w:ind w:firstLine="420" w:firstLineChars="200"/>
              <w:jc w:val="left"/>
              <w:rPr>
                <w:szCs w:val="21"/>
              </w:rPr>
            </w:pPr>
            <w:r>
              <w:rPr>
                <w:szCs w:val="21"/>
              </w:rPr>
              <w:t>Transportation</w:t>
            </w:r>
          </w:p>
        </w:tc>
        <w:tc>
          <w:tcPr>
            <w:tcW w:w="1589" w:type="dxa"/>
            <w:shd w:val="clear" w:color="auto" w:fill="FFFFFF"/>
            <w:vAlign w:val="center"/>
          </w:tcPr>
          <w:p w14:paraId="1FFBF788">
            <w:pPr>
              <w:spacing w:line="276" w:lineRule="auto"/>
              <w:ind w:firstLine="420" w:firstLineChars="200"/>
              <w:jc w:val="left"/>
              <w:rPr>
                <w:szCs w:val="21"/>
              </w:rPr>
            </w:pPr>
            <w:r>
              <w:rPr>
                <w:szCs w:val="21"/>
              </w:rPr>
              <w:t>Freight/Distribution Services</w:t>
            </w:r>
          </w:p>
        </w:tc>
        <w:tc>
          <w:tcPr>
            <w:tcW w:w="1259" w:type="dxa"/>
            <w:shd w:val="clear" w:color="auto" w:fill="FFFFFF"/>
            <w:vAlign w:val="center"/>
          </w:tcPr>
          <w:p w14:paraId="5C73F66C">
            <w:pPr>
              <w:spacing w:line="276" w:lineRule="auto"/>
              <w:ind w:firstLine="420" w:firstLineChars="200"/>
              <w:jc w:val="left"/>
              <w:rPr>
                <w:szCs w:val="21"/>
              </w:rPr>
            </w:pPr>
            <w:r>
              <w:rPr>
                <w:szCs w:val="21"/>
              </w:rPr>
              <w:t>Transportation, Warehousing &amp; Storage</w:t>
            </w:r>
          </w:p>
        </w:tc>
        <w:tc>
          <w:tcPr>
            <w:tcW w:w="822" w:type="dxa"/>
            <w:shd w:val="clear" w:color="auto" w:fill="FFFFFF"/>
            <w:vAlign w:val="center"/>
          </w:tcPr>
          <w:p w14:paraId="0E0A2946">
            <w:pPr>
              <w:spacing w:line="276" w:lineRule="auto"/>
              <w:ind w:firstLine="420" w:firstLineChars="200"/>
              <w:jc w:val="left"/>
              <w:rPr>
                <w:szCs w:val="21"/>
              </w:rPr>
            </w:pPr>
            <w:r>
              <w:rPr>
                <w:szCs w:val="21"/>
              </w:rPr>
              <w:t>Sales, Marketing &amp; Support</w:t>
            </w:r>
          </w:p>
        </w:tc>
        <w:tc>
          <w:tcPr>
            <w:tcW w:w="946" w:type="dxa"/>
            <w:shd w:val="clear" w:color="auto" w:fill="FFFFFF"/>
            <w:vAlign w:val="center"/>
          </w:tcPr>
          <w:p w14:paraId="014D6FFE">
            <w:pPr>
              <w:spacing w:line="276" w:lineRule="auto"/>
              <w:ind w:firstLine="420" w:firstLineChars="200"/>
              <w:jc w:val="left"/>
              <w:rPr>
                <w:szCs w:val="21"/>
              </w:rPr>
            </w:pPr>
            <w:r>
              <w:rPr>
                <w:szCs w:val="21"/>
              </w:rPr>
              <w:t>24.2</w:t>
            </w:r>
          </w:p>
        </w:tc>
        <w:tc>
          <w:tcPr>
            <w:tcW w:w="827" w:type="dxa"/>
            <w:shd w:val="clear" w:color="auto" w:fill="FFFFFF"/>
            <w:vAlign w:val="center"/>
          </w:tcPr>
          <w:p w14:paraId="178CC54D">
            <w:pPr>
              <w:spacing w:line="276" w:lineRule="auto"/>
              <w:ind w:firstLine="420" w:firstLineChars="200"/>
              <w:jc w:val="left"/>
              <w:rPr>
                <w:szCs w:val="21"/>
              </w:rPr>
            </w:pPr>
            <w:r>
              <w:rPr>
                <w:szCs w:val="21"/>
              </w:rPr>
              <w:t>Yes</w:t>
            </w:r>
          </w:p>
        </w:tc>
        <w:tc>
          <w:tcPr>
            <w:tcW w:w="656" w:type="dxa"/>
            <w:shd w:val="clear" w:color="auto" w:fill="FFFFFF"/>
            <w:vAlign w:val="center"/>
          </w:tcPr>
          <w:p w14:paraId="226EF1CA">
            <w:pPr>
              <w:spacing w:line="276" w:lineRule="auto"/>
              <w:ind w:firstLine="420" w:firstLineChars="200"/>
              <w:jc w:val="left"/>
              <w:rPr>
                <w:szCs w:val="21"/>
              </w:rPr>
            </w:pPr>
            <w:r>
              <w:rPr>
                <w:szCs w:val="21"/>
              </w:rPr>
              <w:t>4</w:t>
            </w:r>
          </w:p>
        </w:tc>
        <w:tc>
          <w:tcPr>
            <w:tcW w:w="828" w:type="dxa"/>
            <w:shd w:val="clear" w:color="auto" w:fill="FFFFFF"/>
            <w:vAlign w:val="center"/>
          </w:tcPr>
          <w:p w14:paraId="6C9FDF4A">
            <w:pPr>
              <w:spacing w:line="276" w:lineRule="auto"/>
              <w:ind w:firstLine="420" w:firstLineChars="200"/>
              <w:jc w:val="left"/>
              <w:rPr>
                <w:szCs w:val="21"/>
              </w:rPr>
            </w:pPr>
            <w:r>
              <w:rPr>
                <w:szCs w:val="21"/>
              </w:rPr>
              <w:t>Yes</w:t>
            </w:r>
          </w:p>
        </w:tc>
        <w:tc>
          <w:tcPr>
            <w:tcW w:w="584" w:type="dxa"/>
            <w:shd w:val="clear" w:color="auto" w:fill="FFFFFF"/>
            <w:vAlign w:val="center"/>
          </w:tcPr>
          <w:p w14:paraId="0F34C9C6">
            <w:pPr>
              <w:spacing w:line="276" w:lineRule="auto"/>
              <w:ind w:firstLine="420" w:firstLineChars="200"/>
              <w:jc w:val="left"/>
              <w:rPr>
                <w:szCs w:val="21"/>
              </w:rPr>
            </w:pPr>
            <w:r>
              <w:rPr>
                <w:szCs w:val="21"/>
              </w:rPr>
              <w:t>New</w:t>
            </w:r>
          </w:p>
        </w:tc>
        <w:tc>
          <w:tcPr>
            <w:tcW w:w="928" w:type="dxa"/>
            <w:shd w:val="clear" w:color="auto" w:fill="FFFFFF"/>
            <w:vAlign w:val="center"/>
          </w:tcPr>
          <w:p w14:paraId="6533AA6F">
            <w:pPr>
              <w:spacing w:line="276" w:lineRule="auto"/>
              <w:ind w:firstLine="420" w:firstLineChars="200"/>
              <w:jc w:val="left"/>
              <w:rPr>
                <w:szCs w:val="21"/>
              </w:rPr>
            </w:pPr>
          </w:p>
        </w:tc>
      </w:tr>
    </w:tbl>
    <w:p w14:paraId="57F267C2">
      <w:pPr>
        <w:pStyle w:val="18"/>
        <w:spacing w:line="360" w:lineRule="auto"/>
        <w:ind w:left="359" w:leftChars="171" w:firstLine="480"/>
        <w:rPr>
          <w:rFonts w:ascii="Calibri" w:hAnsi="Calibri"/>
          <w:sz w:val="24"/>
        </w:rPr>
      </w:pPr>
      <w:r>
        <w:rPr>
          <w:rFonts w:hint="eastAsia" w:ascii="Calibri" w:hAnsi="Calibri"/>
          <w:sz w:val="24"/>
        </w:rPr>
        <w:t>注：FDI数据改为线下申请，登录科研实验管理平台网站（http://222.30.38.217/jeesite/f），下载并填写申请表，找实验中心张老师（</w:t>
      </w:r>
      <w:r>
        <w:rPr>
          <w:rFonts w:hint="eastAsia" w:ascii="微软雅黑" w:hAnsi="微软雅黑" w:eastAsia="微软雅黑"/>
          <w:color w:val="333333"/>
          <w:sz w:val="26"/>
          <w:szCs w:val="26"/>
          <w:shd w:val="clear" w:color="auto" w:fill="FFFFFF"/>
        </w:rPr>
        <w:t>23498985</w:t>
      </w:r>
      <w:r>
        <w:rPr>
          <w:rFonts w:hint="eastAsia" w:ascii="Calibri" w:hAnsi="Calibri"/>
          <w:sz w:val="24"/>
        </w:rPr>
        <w:t>）拷贝数据。</w:t>
      </w:r>
    </w:p>
    <w:p w14:paraId="16D410C2">
      <w:pPr>
        <w:pStyle w:val="18"/>
        <w:spacing w:line="360" w:lineRule="auto"/>
        <w:ind w:left="359" w:leftChars="171" w:firstLine="480"/>
        <w:rPr>
          <w:rFonts w:ascii="Calibri" w:hAnsi="Calibri"/>
          <w:sz w:val="24"/>
        </w:rPr>
      </w:pPr>
    </w:p>
    <w:p w14:paraId="6EDEC83A">
      <w:pPr>
        <w:pStyle w:val="18"/>
        <w:spacing w:line="360" w:lineRule="auto"/>
        <w:ind w:left="360" w:firstLine="0" w:firstLineChars="0"/>
        <w:rPr>
          <w:rFonts w:ascii="宋体" w:hAnsi="宋体"/>
          <w:b/>
          <w:color w:val="000000"/>
          <w:sz w:val="24"/>
        </w:rPr>
      </w:pPr>
      <w:r>
        <w:rPr>
          <w:rFonts w:hint="eastAsia" w:ascii="宋体" w:hAnsi="宋体"/>
          <w:b/>
          <w:color w:val="000000"/>
          <w:sz w:val="24"/>
        </w:rPr>
        <w:t>9．全国人口普查数据库</w:t>
      </w:r>
    </w:p>
    <w:p w14:paraId="0C6B99D9">
      <w:pPr>
        <w:pStyle w:val="18"/>
        <w:spacing w:line="360" w:lineRule="auto"/>
        <w:ind w:left="360" w:firstLine="0" w:firstLineChars="0"/>
        <w:rPr>
          <w:rFonts w:ascii="宋体" w:hAnsi="宋体"/>
          <w:color w:val="000000"/>
          <w:sz w:val="24"/>
        </w:rPr>
      </w:pPr>
      <w:r>
        <w:rPr>
          <w:rFonts w:hint="eastAsia" w:ascii="宋体" w:hAnsi="宋体"/>
          <w:color w:val="000000"/>
          <w:sz w:val="24"/>
        </w:rPr>
        <w:t>时间范围：2000年、2010年，年度数据</w:t>
      </w:r>
    </w:p>
    <w:p w14:paraId="19A80841">
      <w:pPr>
        <w:pStyle w:val="18"/>
        <w:spacing w:line="360" w:lineRule="auto"/>
        <w:ind w:left="360" w:firstLine="0" w:firstLineChars="0"/>
        <w:rPr>
          <w:rFonts w:ascii="宋体" w:hAnsi="宋体"/>
          <w:color w:val="000000"/>
          <w:sz w:val="24"/>
        </w:rPr>
      </w:pPr>
      <w:r>
        <w:rPr>
          <w:rFonts w:hint="eastAsia" w:ascii="宋体" w:hAnsi="宋体"/>
          <w:color w:val="000000"/>
          <w:sz w:val="24"/>
        </w:rPr>
        <w:t>统计范围：</w:t>
      </w:r>
      <w:r>
        <w:rPr>
          <w:rFonts w:ascii="宋体" w:hAnsi="宋体"/>
          <w:color w:val="000000"/>
          <w:sz w:val="24"/>
        </w:rPr>
        <w:t>大陆31个省、自治区、直辖市</w:t>
      </w:r>
      <w:r>
        <w:rPr>
          <w:rFonts w:hint="eastAsia" w:ascii="宋体" w:hAnsi="宋体"/>
          <w:color w:val="000000"/>
          <w:sz w:val="24"/>
        </w:rPr>
        <w:t>的区县级常住人口和户籍情况。</w:t>
      </w:r>
    </w:p>
    <w:p w14:paraId="25294DA4">
      <w:pPr>
        <w:pStyle w:val="18"/>
        <w:spacing w:line="360" w:lineRule="auto"/>
        <w:ind w:left="360" w:firstLine="0" w:firstLineChars="0"/>
        <w:rPr>
          <w:rFonts w:ascii="宋体" w:hAnsi="宋体"/>
          <w:color w:val="000000"/>
          <w:sz w:val="24"/>
        </w:rPr>
      </w:pPr>
      <w:r>
        <w:rPr>
          <w:rFonts w:hint="eastAsia" w:ascii="宋体" w:hAnsi="宋体"/>
          <w:color w:val="000000"/>
          <w:sz w:val="24"/>
        </w:rPr>
        <w:t>统计变量：采用了长、短两种普查表。短表包括反映人口基本状况的项目，长表包括所有短表项目和人口的经济活动、婚姻家庭、生育和住房等情况的项目。</w:t>
      </w:r>
    </w:p>
    <w:p w14:paraId="4BD0AEC7">
      <w:pPr>
        <w:pStyle w:val="19"/>
        <w:spacing w:before="156" w:beforeLines="50" w:after="156" w:afterLines="50" w:line="360" w:lineRule="exact"/>
        <w:ind w:firstLine="482"/>
        <w:rPr>
          <w:rFonts w:ascii="宋体" w:hAnsi="宋体" w:eastAsia="宋体"/>
          <w:b/>
          <w:color w:val="000000"/>
          <w:sz w:val="24"/>
          <w:szCs w:val="24"/>
        </w:rPr>
      </w:pPr>
      <w:r>
        <w:rPr>
          <w:rFonts w:hint="eastAsia" w:ascii="宋体" w:hAnsi="宋体" w:eastAsia="宋体"/>
          <w:b/>
          <w:color w:val="000000"/>
          <w:sz w:val="24"/>
          <w:szCs w:val="24"/>
        </w:rPr>
        <w:t>1</w:t>
      </w:r>
      <w:r>
        <w:rPr>
          <w:rFonts w:ascii="宋体" w:hAnsi="宋体" w:eastAsia="宋体"/>
          <w:b/>
          <w:color w:val="000000"/>
          <w:sz w:val="24"/>
          <w:szCs w:val="24"/>
        </w:rPr>
        <w:t>0</w:t>
      </w:r>
      <w:r>
        <w:rPr>
          <w:rFonts w:hint="eastAsia" w:ascii="宋体" w:hAnsi="宋体" w:eastAsia="宋体"/>
          <w:b/>
          <w:color w:val="000000"/>
          <w:sz w:val="24"/>
          <w:szCs w:val="24"/>
        </w:rPr>
        <w:t>. 2010年第六次全国人口普查微观数据</w:t>
      </w:r>
    </w:p>
    <w:p w14:paraId="6B722C8D">
      <w:pPr>
        <w:ind w:firstLine="480" w:firstLineChars="2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六次全国人口普查微观数据以2010年11月1日零时为标准时点进行。普查采用了长、短两种普查表。普查表短表包括反映人口基本状况的项目，普查表长表包括所有短表项目和人口的经济活动、婚姻家庭、生育和住房等情况的项目。根据普查长表抽样工作细则，长表抽取了10%的户填报，短表由其余的户填报。学院采购的是微观个体数据，数据量为抽样数据，样本量为200万左右。</w:t>
      </w:r>
    </w:p>
    <w:p w14:paraId="5BB94A71">
      <w:pPr>
        <w:pStyle w:val="18"/>
        <w:spacing w:line="360" w:lineRule="auto"/>
        <w:ind w:left="360" w:firstLine="241" w:firstLineChars="100"/>
        <w:rPr>
          <w:rFonts w:ascii="宋体" w:hAnsi="宋体"/>
          <w:b/>
          <w:color w:val="000000"/>
          <w:sz w:val="24"/>
        </w:rPr>
      </w:pPr>
      <w:r>
        <w:rPr>
          <w:rFonts w:ascii="宋体" w:hAnsi="宋体"/>
          <w:b/>
          <w:color w:val="000000"/>
          <w:sz w:val="24"/>
        </w:rPr>
        <w:t>11</w:t>
      </w:r>
      <w:r>
        <w:rPr>
          <w:rFonts w:hint="eastAsia" w:ascii="宋体" w:hAnsi="宋体"/>
          <w:b/>
          <w:color w:val="000000"/>
          <w:sz w:val="24"/>
        </w:rPr>
        <w:t>．2015年全国1%人口抽样调查原始数据</w:t>
      </w:r>
    </w:p>
    <w:p w14:paraId="1A917063">
      <w:pPr>
        <w:pStyle w:val="18"/>
        <w:spacing w:line="360" w:lineRule="auto"/>
        <w:ind w:firstLine="480"/>
        <w:rPr>
          <w:sz w:val="24"/>
        </w:rPr>
      </w:pPr>
      <w:r>
        <w:rPr>
          <w:rFonts w:hint="eastAsia"/>
          <w:sz w:val="24"/>
        </w:rPr>
        <w:t>本数据来自于2015年全国1%人口抽样调查数据的原始数据，按照随机抽样的原则，选取其中的200万条数据。包含有民族、年龄、教育、就业、婚姻、家庭、生育、老年人口、死亡、住房、迁移和户口登记地等数据，反映了我国当前人口和住房的各种结构情况。</w:t>
      </w:r>
    </w:p>
    <w:p w14:paraId="2E1B1165">
      <w:pPr>
        <w:pStyle w:val="18"/>
        <w:spacing w:line="360" w:lineRule="auto"/>
        <w:ind w:left="360" w:firstLine="241" w:firstLineChars="100"/>
        <w:rPr>
          <w:rFonts w:ascii="宋体" w:hAnsi="宋体"/>
          <w:b/>
          <w:color w:val="000000"/>
          <w:sz w:val="24"/>
        </w:rPr>
      </w:pPr>
      <w:r>
        <w:rPr>
          <w:rFonts w:ascii="宋体" w:hAnsi="宋体"/>
          <w:b/>
          <w:color w:val="000000"/>
          <w:sz w:val="24"/>
        </w:rPr>
        <w:t xml:space="preserve">12. </w:t>
      </w:r>
      <w:r>
        <w:rPr>
          <w:rFonts w:hint="eastAsia" w:ascii="宋体" w:hAnsi="宋体"/>
          <w:b/>
          <w:color w:val="000000"/>
          <w:sz w:val="24"/>
        </w:rPr>
        <w:t>全球专利数据库</w:t>
      </w:r>
    </w:p>
    <w:p w14:paraId="14267473">
      <w:pPr>
        <w:spacing w:line="360" w:lineRule="auto"/>
        <w:ind w:firstLine="480" w:firstLineChars="200"/>
        <w:rPr>
          <w:sz w:val="24"/>
        </w:rPr>
      </w:pPr>
      <w:r>
        <w:rPr>
          <w:rFonts w:hint="eastAsia"/>
          <w:sz w:val="24"/>
        </w:rPr>
        <w:t xml:space="preserve">全球专利数据库包含的专利总量为17137万项，时间上和地域上横跨了18世纪的美国英国到21世纪的阿拉伯地区和东南亚。 </w:t>
      </w:r>
    </w:p>
    <w:p w14:paraId="3D5A26D6">
      <w:pPr>
        <w:spacing w:line="360" w:lineRule="auto"/>
        <w:ind w:firstLine="480" w:firstLineChars="200"/>
        <w:rPr>
          <w:sz w:val="24"/>
        </w:rPr>
      </w:pPr>
      <w:r>
        <w:rPr>
          <w:rFonts w:hint="eastAsia"/>
          <w:sz w:val="24"/>
        </w:rPr>
        <w:t xml:space="preserve">全球专利数据库中，中国的专利数据的时间跨度是1980-2023，共3675万条；台湾，1991-2023，共232万条；香港，1976-2023，共42万条；美国，1790-2024，共3177万条；日本，1913-2024，共2709万条；EPO，1978-2024，共1279万条；WIPO，1978-2024，共568万条；英国，1782-2024，共497万条；德国，1861-2024，共1477万条；法国，1819-2024，共480万条；瑞士，1888-2023，共70万条；韩国，1973-2024，共882万条；俄罗斯，1919-2024，共192万条；非洲地区，1971-2023，共9万条；奥地利，1899-2023，共112万条；澳大利亚，1917-2024，共440万条；意大利，1921-2023，共123万条；瑞典，1888-2023，共82万条；加拿大，1863-2024，共361万条；西班牙，1827-2023，共210万条；，阿拉伯，2002-2023，共3万条；东南亚，1953-2023，共33万条；其他国家和地区，1842-2023，共485万条，全部地区时间总计17137万条。 </w:t>
      </w:r>
    </w:p>
    <w:p w14:paraId="221BDABD">
      <w:pPr>
        <w:spacing w:line="360" w:lineRule="auto"/>
        <w:ind w:firstLine="480" w:firstLineChars="200"/>
        <w:rPr>
          <w:rFonts w:hint="eastAsia"/>
          <w:sz w:val="24"/>
        </w:rPr>
      </w:pPr>
      <w:r>
        <w:rPr>
          <w:rFonts w:hint="eastAsia"/>
          <w:sz w:val="24"/>
        </w:rPr>
        <w:t>在字段上，尽管每个国家和地区的专利信息字段存在些许差异，但重要的字段信息包括：申请号、公开号、申请日、公开日、申请人、申请人地址、发明人、代理人、国省代码、分类号、主分类号、欧洲分类号、欧洲主分类号、优先权、优先权国家、简单同族、摘要、引证专利、国际申请、国际公布等均包含在内。</w:t>
      </w:r>
    </w:p>
    <w:p w14:paraId="6314CE7C">
      <w:pPr>
        <w:numPr>
          <w:ilvl w:val="0"/>
          <w:numId w:val="1"/>
        </w:numPr>
        <w:spacing w:line="360" w:lineRule="auto"/>
        <w:ind w:firstLine="422" w:firstLineChars="175"/>
        <w:rPr>
          <w:rFonts w:hint="eastAsia"/>
          <w:b/>
          <w:bCs/>
          <w:sz w:val="24"/>
        </w:rPr>
      </w:pPr>
      <w:r>
        <w:rPr>
          <w:rFonts w:hint="eastAsia"/>
          <w:b/>
          <w:bCs/>
          <w:sz w:val="24"/>
        </w:rPr>
        <w:t>全球贸易信息数据系统（全球海关贸易提单数据）</w:t>
      </w:r>
      <w:r>
        <w:rPr>
          <w:rFonts w:hint="eastAsia"/>
          <w:b/>
          <w:bCs/>
          <w:sz w:val="24"/>
          <w:lang w:eastAsia="zh-CN"/>
        </w:rPr>
        <w:t>（</w:t>
      </w:r>
      <w:r>
        <w:rPr>
          <w:rFonts w:hint="eastAsia"/>
          <w:b/>
          <w:bCs/>
          <w:sz w:val="24"/>
          <w:lang w:val="en-US" w:eastAsia="zh-CN"/>
        </w:rPr>
        <w:t>拟采购</w:t>
      </w:r>
      <w:r>
        <w:rPr>
          <w:rFonts w:hint="eastAsia"/>
          <w:b/>
          <w:bCs/>
          <w:sz w:val="24"/>
          <w:lang w:eastAsia="zh-CN"/>
        </w:rPr>
        <w:t>）</w:t>
      </w:r>
    </w:p>
    <w:p w14:paraId="2C362301">
      <w:pPr>
        <w:spacing w:line="360" w:lineRule="auto"/>
        <w:ind w:firstLine="420" w:firstLineChars="175"/>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包含中国对世界国家进出口数据，数据年份2018-2025年。字段</w:t>
      </w:r>
      <w:r>
        <w:rPr>
          <w:rFonts w:hint="default" w:ascii="Times New Roman" w:hAnsi="Times New Roman" w:eastAsia="宋体" w:cs="Times New Roman"/>
          <w:sz w:val="24"/>
          <w:lang w:val="en-US" w:eastAsia="zh-CN"/>
        </w:rPr>
        <w:t>包括进出口商名称及编码、HS商品编码、商品描述、贸易金额、重量数量、原产国、目的国、港口信息、运输方式等核心字段</w:t>
      </w:r>
      <w:r>
        <w:rPr>
          <w:rFonts w:hint="eastAsia" w:ascii="Times New Roman" w:hAnsi="Times New Roman" w:eastAsia="宋体" w:cs="Times New Roman"/>
          <w:sz w:val="24"/>
          <w:lang w:val="en-US" w:eastAsia="zh-CN"/>
        </w:rPr>
        <w:t>。</w:t>
      </w:r>
      <w:r>
        <w:rPr>
          <w:rFonts w:hint="default" w:ascii="Times New Roman" w:hAnsi="Times New Roman" w:eastAsia="宋体" w:cs="Times New Roman"/>
          <w:sz w:val="24"/>
          <w:lang w:val="en-US" w:eastAsia="zh-CN"/>
        </w:rPr>
        <w:t>数据包含不少于100万家活跃进出口企业信息</w:t>
      </w:r>
      <w:r>
        <w:rPr>
          <w:rFonts w:hint="eastAsia" w:ascii="Times New Roman" w:hAnsi="Times New Roman" w:eastAsia="宋体" w:cs="Times New Roman"/>
          <w:sz w:val="24"/>
          <w:lang w:val="en-US" w:eastAsia="zh-CN"/>
        </w:rPr>
        <w:t>。</w:t>
      </w:r>
    </w:p>
    <w:p w14:paraId="597F889C">
      <w:pPr>
        <w:numPr>
          <w:ilvl w:val="0"/>
          <w:numId w:val="1"/>
        </w:numPr>
        <w:spacing w:line="360" w:lineRule="auto"/>
        <w:ind w:left="0" w:leftChars="0" w:firstLine="422" w:firstLineChars="175"/>
        <w:rPr>
          <w:rFonts w:hint="eastAsia"/>
          <w:b/>
          <w:bCs/>
          <w:sz w:val="24"/>
        </w:rPr>
      </w:pPr>
      <w:r>
        <w:rPr>
          <w:rFonts w:hint="eastAsia"/>
          <w:b/>
          <w:bCs/>
          <w:sz w:val="24"/>
        </w:rPr>
        <w:t>绿色创新科技活动整合数据库</w:t>
      </w:r>
      <w:r>
        <w:rPr>
          <w:rFonts w:hint="eastAsia"/>
          <w:b/>
          <w:bCs/>
          <w:sz w:val="24"/>
          <w:lang w:eastAsia="zh-CN"/>
        </w:rPr>
        <w:t>（</w:t>
      </w:r>
      <w:r>
        <w:rPr>
          <w:rFonts w:hint="eastAsia"/>
          <w:b/>
          <w:bCs/>
          <w:sz w:val="24"/>
          <w:lang w:val="en-US" w:eastAsia="zh-CN"/>
        </w:rPr>
        <w:t>拟采购</w:t>
      </w:r>
      <w:r>
        <w:rPr>
          <w:rFonts w:hint="eastAsia"/>
          <w:b/>
          <w:bCs/>
          <w:sz w:val="24"/>
          <w:lang w:eastAsia="zh-CN"/>
        </w:rPr>
        <w:t>）</w:t>
      </w:r>
    </w:p>
    <w:p w14:paraId="761CBD6E">
      <w:pPr>
        <w:spacing w:line="360" w:lineRule="auto"/>
        <w:ind w:firstLine="420" w:firstLineChars="175"/>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绿色创新科技活动整合数据库可提供以中国规模以上制造企业内具有研发活动的工业企业信息为基础，进行深度挖掘并生成绿色创新科技活动整合数据库，数据内容包括企业ID、企业编码、研发投入信息、企业研发经费支出、委托外部研发经费、企业研发项目数量及结构、研发产出信息等160多个指标；时间为2008年、2009年、2010年、2014年共四个年度，企业数量提供从2008年3万家企业递增到2014年的8万家。</w:t>
      </w:r>
    </w:p>
    <w:p w14:paraId="50F146FC">
      <w:pPr>
        <w:numPr>
          <w:ilvl w:val="0"/>
          <w:numId w:val="1"/>
        </w:numPr>
        <w:spacing w:line="360" w:lineRule="auto"/>
        <w:ind w:left="0" w:leftChars="0" w:firstLine="422" w:firstLineChars="175"/>
        <w:rPr>
          <w:rFonts w:hint="eastAsia" w:ascii="Times New Roman" w:hAnsi="Times New Roman" w:eastAsia="宋体" w:cs="Times New Roman"/>
          <w:kern w:val="2"/>
          <w:sz w:val="24"/>
          <w:szCs w:val="24"/>
          <w:lang w:val="en-US" w:eastAsia="zh-CN" w:bidi="ar-SA"/>
        </w:rPr>
      </w:pPr>
      <w:r>
        <w:rPr>
          <w:rFonts w:hint="eastAsia"/>
          <w:b/>
          <w:bCs/>
          <w:sz w:val="24"/>
        </w:rPr>
        <w:t>中国企业贡献数据库（税收调查数据）</w:t>
      </w:r>
      <w:r>
        <w:rPr>
          <w:rFonts w:hint="eastAsia"/>
          <w:b/>
          <w:bCs/>
          <w:sz w:val="24"/>
          <w:lang w:eastAsia="zh-CN"/>
        </w:rPr>
        <w:t>（</w:t>
      </w:r>
      <w:r>
        <w:rPr>
          <w:rFonts w:hint="eastAsia"/>
          <w:b/>
          <w:bCs/>
          <w:sz w:val="24"/>
          <w:lang w:val="en-US" w:eastAsia="zh-CN"/>
        </w:rPr>
        <w:t>拟采购</w:t>
      </w:r>
      <w:r>
        <w:rPr>
          <w:rFonts w:hint="eastAsia"/>
          <w:b/>
          <w:bCs/>
          <w:sz w:val="24"/>
          <w:lang w:eastAsia="zh-CN"/>
        </w:rPr>
        <w:t>）</w:t>
      </w:r>
    </w:p>
    <w:p w14:paraId="7F1805D7">
      <w:pPr>
        <w:numPr>
          <w:ilvl w:val="0"/>
          <w:numId w:val="0"/>
        </w:numPr>
        <w:spacing w:line="360" w:lineRule="auto"/>
        <w:ind w:left="0" w:leftChars="0" w:firstLine="480" w:firstLineChars="2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据跨度2008年-2020年，每年的平均样本规模为70万家企业(2017—2020为40多万)，涵盖了农业、工业、服务业等全部分类行业。该调查有三个系列的数据表：基本信息表、企业表，货物劳务表。第一个记录企业的基本信息，包括纳税人识别码、公司名称、 调查年、行业、产权属性、成立年份等60多个变量；第二个企业表有400多个变量，主要包括增值税、消费税、营业税、房产税、城镇土地使用税、车船税、企业所得税等12个税种的详细信息，以及利润表、资产负债表、现金流量表等其他5个统计表；第三个货物劳务表，记录了企业的产出、销量和出售价格，以及产品内销和出口等40个指标。</w:t>
      </w:r>
    </w:p>
    <w:p w14:paraId="17D906C8">
      <w:pPr>
        <w:pStyle w:val="18"/>
        <w:spacing w:line="360" w:lineRule="auto"/>
        <w:rPr>
          <w:rFonts w:ascii="宋体" w:hAnsi="宋体"/>
          <w:b/>
          <w:color w:val="000000"/>
          <w:sz w:val="24"/>
        </w:rPr>
      </w:pPr>
      <w:r>
        <w:rPr>
          <w:rFonts w:hint="eastAsia" w:ascii="宋体" w:hAnsi="宋体"/>
          <w:b/>
          <w:color w:val="000000"/>
          <w:sz w:val="24"/>
        </w:rPr>
        <w:t>1</w:t>
      </w:r>
      <w:r>
        <w:rPr>
          <w:rFonts w:hint="eastAsia" w:ascii="宋体" w:hAnsi="宋体"/>
          <w:b/>
          <w:color w:val="000000"/>
          <w:sz w:val="24"/>
          <w:lang w:val="en-US" w:eastAsia="zh-CN"/>
        </w:rPr>
        <w:t>6</w:t>
      </w:r>
      <w:r>
        <w:rPr>
          <w:rFonts w:hint="eastAsia" w:ascii="宋体" w:hAnsi="宋体"/>
          <w:b/>
          <w:color w:val="000000"/>
          <w:sz w:val="24"/>
        </w:rPr>
        <w:t>. 城市家庭住房消费调查数据（2015-2017）(学院自建)</w:t>
      </w:r>
    </w:p>
    <w:p w14:paraId="09A2C53C">
      <w:pPr>
        <w:pStyle w:val="18"/>
        <w:spacing w:line="360" w:lineRule="auto"/>
        <w:ind w:left="0" w:leftChars="0" w:firstLine="480" w:firstLineChars="200"/>
        <w:rPr>
          <w:rFonts w:ascii="宋体" w:hAnsi="宋体"/>
          <w:color w:val="000000"/>
          <w:sz w:val="24"/>
        </w:rPr>
      </w:pPr>
      <w:r>
        <w:rPr>
          <w:rFonts w:ascii="宋体" w:hAnsi="宋体"/>
          <w:color w:val="000000"/>
          <w:sz w:val="24"/>
        </w:rPr>
        <w:t>中国城市家庭住房消费调查（Chinese Housing Consumption Survey, CHCS），是由中国特色社会主义经济建设协同创新中心、南开大学经济学院在全国范围内展开的抽样调查项目。该项目由南开大学经济学院周京奎老师于2015年发起，目前已初步完成2015、2016和2017三个年度的数据采集。2015年共采集家庭户样本2053个和家庭成员样本5198 个、2016年共采集家庭户样本2674个和家庭成员样本6769 个、2017年，家庭户样本2783个，家庭成员样本7019个。</w:t>
      </w:r>
    </w:p>
    <w:p w14:paraId="11678E05">
      <w:pPr>
        <w:pStyle w:val="18"/>
        <w:spacing w:line="360" w:lineRule="auto"/>
        <w:ind w:left="360" w:firstLine="0" w:firstLineChars="0"/>
        <w:rPr>
          <w:rFonts w:ascii="宋体" w:hAnsi="宋体"/>
          <w:color w:val="000000"/>
          <w:sz w:val="24"/>
        </w:rPr>
      </w:pPr>
      <w:r>
        <w:rPr>
          <w:rFonts w:hint="eastAsia" w:ascii="宋体" w:hAnsi="宋体"/>
          <w:color w:val="000000"/>
          <w:sz w:val="24"/>
        </w:rPr>
        <w:t xml:space="preserve">    </w:t>
      </w:r>
      <w:r>
        <w:rPr>
          <w:rFonts w:ascii="宋体" w:hAnsi="宋体"/>
          <w:color w:val="000000"/>
          <w:sz w:val="24"/>
        </w:rPr>
        <w:t>具体抽样方法和调查覆盖城市，</w:t>
      </w:r>
      <w:r>
        <w:rPr>
          <w:rFonts w:hint="eastAsia" w:ascii="宋体" w:hAnsi="宋体"/>
          <w:color w:val="000000"/>
          <w:sz w:val="24"/>
        </w:rPr>
        <w:t>可与周京奎老师联系，</w:t>
      </w:r>
      <w:r>
        <w:rPr>
          <w:rFonts w:ascii="宋体" w:hAnsi="宋体"/>
          <w:color w:val="000000"/>
          <w:sz w:val="24"/>
        </w:rPr>
        <w:t>详见周京奎等著</w:t>
      </w:r>
      <w:r>
        <w:rPr>
          <w:rFonts w:hint="eastAsia" w:ascii="宋体" w:hAnsi="宋体"/>
          <w:color w:val="000000"/>
          <w:sz w:val="24"/>
        </w:rPr>
        <w:t>《中国城市家庭住房消费调查》（2015、2016、2017），经济科学出版社。</w:t>
      </w:r>
    </w:p>
    <w:p w14:paraId="39A29AE0">
      <w:pPr>
        <w:pStyle w:val="18"/>
        <w:spacing w:line="360" w:lineRule="auto"/>
        <w:ind w:left="360" w:firstLine="0" w:firstLineChars="0"/>
        <w:rPr>
          <w:rFonts w:ascii="宋体" w:hAnsi="宋体"/>
          <w:color w:val="000000"/>
          <w:sz w:val="24"/>
        </w:rPr>
      </w:pPr>
      <w:r>
        <w:rPr>
          <w:rFonts w:ascii="宋体" w:hAnsi="宋体"/>
          <w:color w:val="000000"/>
          <w:sz w:val="24"/>
        </w:rPr>
        <w:t>该数据</w:t>
      </w:r>
      <w:r>
        <w:rPr>
          <w:rFonts w:hint="eastAsia" w:ascii="宋体" w:hAnsi="宋体"/>
          <w:color w:val="000000"/>
          <w:sz w:val="24"/>
        </w:rPr>
        <w:t>可</w:t>
      </w:r>
      <w:r>
        <w:rPr>
          <w:rFonts w:ascii="宋体" w:hAnsi="宋体"/>
          <w:color w:val="000000"/>
          <w:sz w:val="24"/>
        </w:rPr>
        <w:t>应用范围</w:t>
      </w:r>
      <w:r>
        <w:rPr>
          <w:rFonts w:hint="eastAsia" w:ascii="宋体" w:hAnsi="宋体"/>
          <w:color w:val="000000"/>
          <w:sz w:val="24"/>
        </w:rPr>
        <w:t>：住房问题研究、消费平衡性研究、收入问题研究、贫困问题研究、政策影响研究、财富平衡性研究。</w:t>
      </w:r>
    </w:p>
    <w:p w14:paraId="7FDC0553">
      <w:pPr>
        <w:pStyle w:val="18"/>
        <w:spacing w:line="360" w:lineRule="auto"/>
        <w:ind w:left="360" w:firstLine="482" w:firstLineChars="200"/>
        <w:rPr>
          <w:rFonts w:ascii="宋体" w:hAnsi="宋体"/>
          <w:b/>
          <w:color w:val="000000"/>
          <w:sz w:val="24"/>
        </w:rPr>
      </w:pPr>
      <w:r>
        <w:rPr>
          <w:rFonts w:hint="eastAsia" w:ascii="宋体" w:hAnsi="宋体"/>
          <w:b/>
          <w:color w:val="000000"/>
          <w:sz w:val="24"/>
        </w:rPr>
        <w:t>1</w:t>
      </w:r>
      <w:r>
        <w:rPr>
          <w:rFonts w:hint="eastAsia" w:ascii="宋体" w:hAnsi="宋体"/>
          <w:b/>
          <w:color w:val="000000"/>
          <w:sz w:val="24"/>
          <w:lang w:val="en-US" w:eastAsia="zh-CN"/>
        </w:rPr>
        <w:t>7</w:t>
      </w:r>
      <w:r>
        <w:rPr>
          <w:rFonts w:hint="eastAsia" w:ascii="宋体" w:hAnsi="宋体"/>
          <w:b/>
          <w:color w:val="000000"/>
          <w:sz w:val="24"/>
        </w:rPr>
        <w:t>.</w:t>
      </w:r>
      <w:r>
        <w:rPr>
          <w:rFonts w:hint="eastAsia"/>
          <w:b/>
        </w:rPr>
        <w:t xml:space="preserve"> </w:t>
      </w:r>
      <w:r>
        <w:rPr>
          <w:rFonts w:hint="eastAsia" w:ascii="宋体" w:hAnsi="宋体"/>
          <w:b/>
          <w:color w:val="000000"/>
          <w:sz w:val="24"/>
        </w:rPr>
        <w:t>城市与区域经济空间发展数据库(学院自建)</w:t>
      </w:r>
    </w:p>
    <w:p w14:paraId="656DF0EF">
      <w:pPr>
        <w:pStyle w:val="18"/>
        <w:spacing w:line="360" w:lineRule="auto"/>
        <w:ind w:left="360" w:firstLine="435" w:firstLineChars="0"/>
        <w:rPr>
          <w:rFonts w:ascii="宋体" w:hAnsi="宋体"/>
          <w:color w:val="000000"/>
          <w:sz w:val="24"/>
        </w:rPr>
      </w:pPr>
      <w:r>
        <w:rPr>
          <w:rFonts w:hint="eastAsia" w:ascii="宋体" w:hAnsi="宋体"/>
          <w:color w:val="000000"/>
          <w:sz w:val="24"/>
        </w:rPr>
        <w:t>9.1  一期</w:t>
      </w:r>
    </w:p>
    <w:p w14:paraId="57415C0D">
      <w:pPr>
        <w:pStyle w:val="18"/>
        <w:spacing w:line="360" w:lineRule="auto"/>
        <w:ind w:left="360" w:firstLine="435" w:firstLineChars="0"/>
        <w:rPr>
          <w:rFonts w:ascii="宋体" w:hAnsi="宋体"/>
          <w:color w:val="000000"/>
          <w:sz w:val="24"/>
        </w:rPr>
      </w:pPr>
      <w:r>
        <w:rPr>
          <w:rFonts w:hint="eastAsia" w:ascii="宋体" w:hAnsi="宋体"/>
          <w:color w:val="000000"/>
          <w:sz w:val="24"/>
        </w:rPr>
        <w:t>含三部分：（1） 中国城市市辖区数据和中国城市全市数据，数据来源于《中国城市统计年鉴》（1990-2015），《中国城市建设统计年鉴》（1990-2015）和《中国区域经济统计年鉴》（1990-2015）；（2）中国县级层面数据，数据主要来源于《中国区域经济统计年鉴》（2000-2015），部分统计数据来源于</w:t>
      </w:r>
      <w:r>
        <w:rPr>
          <w:rFonts w:ascii="宋体" w:hAnsi="宋体"/>
          <w:color w:val="000000"/>
          <w:sz w:val="24"/>
        </w:rPr>
        <w:fldChar w:fldCharType="begin"/>
      </w:r>
      <w:r>
        <w:rPr>
          <w:rFonts w:ascii="宋体" w:hAnsi="宋体"/>
          <w:color w:val="000000"/>
          <w:sz w:val="24"/>
        </w:rPr>
        <w:instrText xml:space="preserve"> HYPERLINK "http://</w:instrText>
      </w:r>
      <w:r>
        <w:rPr>
          <w:rFonts w:hint="eastAsia" w:ascii="宋体" w:hAnsi="宋体"/>
          <w:color w:val="000000"/>
          <w:sz w:val="24"/>
        </w:rPr>
        <w:instrText xml:space="preserve">www.chinadataonline.com</w:instrText>
      </w:r>
      <w:r>
        <w:rPr>
          <w:rFonts w:ascii="宋体" w:hAnsi="宋体"/>
          <w:color w:val="000000"/>
          <w:sz w:val="24"/>
        </w:rPr>
        <w:instrText xml:space="preserve">" </w:instrText>
      </w:r>
      <w:r>
        <w:rPr>
          <w:rFonts w:ascii="宋体" w:hAnsi="宋体"/>
          <w:color w:val="000000"/>
          <w:sz w:val="24"/>
        </w:rPr>
        <w:fldChar w:fldCharType="separate"/>
      </w:r>
      <w:r>
        <w:rPr>
          <w:rFonts w:hint="eastAsia" w:ascii="宋体" w:hAnsi="宋体"/>
          <w:color w:val="000000"/>
          <w:sz w:val="24"/>
        </w:rPr>
        <w:t>www.chinadataonline.com</w:t>
      </w:r>
      <w:r>
        <w:rPr>
          <w:rFonts w:ascii="宋体" w:hAnsi="宋体"/>
          <w:color w:val="000000"/>
          <w:sz w:val="24"/>
        </w:rPr>
        <w:fldChar w:fldCharType="end"/>
      </w:r>
      <w:r>
        <w:rPr>
          <w:rFonts w:hint="eastAsia" w:ascii="宋体" w:hAnsi="宋体"/>
          <w:color w:val="000000"/>
          <w:sz w:val="24"/>
        </w:rPr>
        <w:t>，；（3）全部人口普查数据，数据来源于中国人口普查2000和2010的长表和短表数据。其中的城市相应的地理坐标，来源于2000和2010年的中国人口普查数据的Shape底图。数据来源于</w:t>
      </w:r>
      <w:r>
        <w:rPr>
          <w:rFonts w:ascii="宋体" w:hAnsi="宋体"/>
          <w:color w:val="000000"/>
          <w:sz w:val="24"/>
        </w:rPr>
        <w:fldChar w:fldCharType="begin"/>
      </w:r>
      <w:r>
        <w:rPr>
          <w:rFonts w:ascii="宋体" w:hAnsi="宋体"/>
          <w:color w:val="000000"/>
          <w:sz w:val="24"/>
        </w:rPr>
        <w:instrText xml:space="preserve">HYPERLINK "http://www.chinadataonline.com"</w:instrText>
      </w:r>
      <w:r>
        <w:rPr>
          <w:rFonts w:ascii="宋体" w:hAnsi="宋体"/>
          <w:color w:val="000000"/>
          <w:sz w:val="24"/>
        </w:rPr>
        <w:fldChar w:fldCharType="separate"/>
      </w:r>
      <w:r>
        <w:rPr>
          <w:rFonts w:hint="eastAsia" w:ascii="宋体" w:hAnsi="宋体"/>
          <w:color w:val="000000"/>
          <w:sz w:val="24"/>
        </w:rPr>
        <w:t>www.chinadataonline.com</w:t>
      </w:r>
      <w:r>
        <w:rPr>
          <w:rFonts w:ascii="宋体" w:hAnsi="宋体"/>
          <w:color w:val="000000"/>
          <w:sz w:val="24"/>
        </w:rPr>
        <w:fldChar w:fldCharType="end"/>
      </w:r>
      <w:r>
        <w:rPr>
          <w:rFonts w:hint="eastAsia" w:ascii="宋体" w:hAnsi="宋体"/>
          <w:color w:val="000000"/>
          <w:sz w:val="24"/>
        </w:rPr>
        <w:t>。</w:t>
      </w:r>
    </w:p>
    <w:p w14:paraId="54D80794">
      <w:pPr>
        <w:pStyle w:val="18"/>
        <w:ind w:left="359" w:leftChars="171" w:firstLine="480"/>
      </w:pPr>
      <w:r>
        <w:rPr>
          <w:rFonts w:hint="eastAsia" w:ascii="宋体" w:hAnsi="宋体"/>
          <w:color w:val="000000"/>
          <w:sz w:val="24"/>
        </w:rPr>
        <w:t>这些数据反映了全国及各省市、地市县级行政区域</w:t>
      </w:r>
      <w:r>
        <w:rPr>
          <w:rFonts w:ascii="宋体" w:hAnsi="宋体"/>
          <w:color w:val="000000"/>
          <w:sz w:val="24"/>
        </w:rPr>
        <w:t>社会经济发展和城</w:t>
      </w:r>
      <w:r>
        <w:rPr>
          <w:rFonts w:hint="eastAsia" w:ascii="宋体" w:hAnsi="宋体"/>
          <w:color w:val="000000"/>
          <w:sz w:val="24"/>
        </w:rPr>
        <w:t>乡</w:t>
      </w:r>
      <w:r>
        <w:rPr>
          <w:rFonts w:ascii="宋体" w:hAnsi="宋体"/>
          <w:color w:val="000000"/>
          <w:sz w:val="24"/>
        </w:rPr>
        <w:t>建设</w:t>
      </w:r>
      <w:r>
        <w:rPr>
          <w:rFonts w:hint="eastAsia" w:ascii="宋体" w:hAnsi="宋体"/>
          <w:color w:val="000000"/>
          <w:sz w:val="24"/>
        </w:rPr>
        <w:t>的发展状况，内容涵盖自然状况、人口与就业、国民核算、固定资产投资、财政、物价、人民生活、农业、工业、建筑业、运输邮电业、国内贸易、对外经济贸易、旅游、金融保险、教育、科技、文化、卫生、社会福利、环境保护和市政建设等社会经济发展的各个方面</w:t>
      </w:r>
      <w:r>
        <w:rPr>
          <w:rFonts w:ascii="宋体" w:hAnsi="宋体"/>
          <w:color w:val="000000"/>
          <w:sz w:val="24"/>
        </w:rPr>
        <w:t>等各方面。</w:t>
      </w:r>
      <w:r>
        <w:rPr>
          <w:rFonts w:hint="eastAsia" w:ascii="宋体" w:hAnsi="宋体"/>
          <w:color w:val="000000"/>
          <w:sz w:val="24"/>
        </w:rPr>
        <w:t>具体统计指标及单位请查阅云科研实验平台网站（http://222.30.38.217/jeesite/f）或者云平台（</w:t>
      </w:r>
      <w:r>
        <w:rPr>
          <w:rFonts w:ascii="宋体" w:hAnsi="宋体"/>
          <w:color w:val="000000"/>
          <w:sz w:val="24"/>
        </w:rPr>
        <w:fldChar w:fldCharType="begin"/>
      </w:r>
      <w:r>
        <w:rPr>
          <w:rFonts w:ascii="宋体" w:hAnsi="宋体"/>
          <w:color w:val="000000"/>
          <w:sz w:val="24"/>
        </w:rPr>
        <w:instrText xml:space="preserve"> HYPERLINK "http://192.168.130.15/" </w:instrText>
      </w:r>
      <w:r>
        <w:rPr>
          <w:rFonts w:ascii="宋体" w:hAnsi="宋体"/>
          <w:color w:val="000000"/>
          <w:sz w:val="24"/>
        </w:rPr>
        <w:fldChar w:fldCharType="separate"/>
      </w:r>
      <w:r>
        <w:rPr>
          <w:rStyle w:val="13"/>
          <w:rFonts w:ascii="宋体" w:hAnsi="宋体"/>
          <w:sz w:val="24"/>
        </w:rPr>
        <w:t>http://192.168.130.15/</w:t>
      </w:r>
      <w:r>
        <w:rPr>
          <w:rFonts w:ascii="宋体" w:hAnsi="宋体"/>
          <w:color w:val="000000"/>
          <w:sz w:val="24"/>
        </w:rPr>
        <w:fldChar w:fldCharType="end"/>
      </w:r>
      <w:r>
        <w:rPr>
          <w:rFonts w:hint="eastAsia" w:ascii="宋体" w:hAnsi="宋体"/>
          <w:color w:val="000000"/>
          <w:sz w:val="24"/>
        </w:rPr>
        <w:t>）。</w:t>
      </w:r>
    </w:p>
    <w:p w14:paraId="4937DCFE">
      <w:pPr>
        <w:pStyle w:val="18"/>
        <w:ind w:left="360" w:firstLine="0" w:firstLineChars="0"/>
        <w:rPr>
          <w:rFonts w:ascii="宋体" w:hAnsi="宋体"/>
          <w:color w:val="000000"/>
          <w:sz w:val="24"/>
        </w:rPr>
      </w:pPr>
      <w:r>
        <w:rPr>
          <w:rFonts w:hint="eastAsia" w:ascii="宋体" w:hAnsi="宋体"/>
          <w:color w:val="000000"/>
          <w:sz w:val="24"/>
        </w:rPr>
        <w:t>9.2二期</w:t>
      </w:r>
    </w:p>
    <w:p w14:paraId="0DCF595A">
      <w:pPr>
        <w:pStyle w:val="18"/>
        <w:numPr>
          <w:ilvl w:val="0"/>
          <w:numId w:val="2"/>
        </w:numPr>
        <w:ind w:left="426" w:firstLine="0" w:firstLineChars="0"/>
        <w:rPr>
          <w:sz w:val="24"/>
        </w:rPr>
      </w:pPr>
      <w:r>
        <w:rPr>
          <w:rFonts w:hint="eastAsia"/>
          <w:sz w:val="24"/>
        </w:rPr>
        <w:t>中国工业企业数据库1998-2013企业地址空间坐标数据库</w:t>
      </w:r>
    </w:p>
    <w:p w14:paraId="1BBC6476">
      <w:pPr>
        <w:pStyle w:val="18"/>
        <w:numPr>
          <w:ilvl w:val="0"/>
          <w:numId w:val="2"/>
        </w:numPr>
        <w:ind w:firstLine="6" w:firstLineChars="0"/>
        <w:rPr>
          <w:sz w:val="24"/>
        </w:rPr>
      </w:pPr>
      <w:r>
        <w:rPr>
          <w:rFonts w:hint="eastAsia"/>
          <w:sz w:val="24"/>
        </w:rPr>
        <w:t>中国土地交易数据库2001-2015 土地地理坐标数据库</w:t>
      </w:r>
    </w:p>
    <w:p w14:paraId="041224C0">
      <w:pPr>
        <w:pStyle w:val="18"/>
        <w:numPr>
          <w:ilvl w:val="0"/>
          <w:numId w:val="2"/>
        </w:numPr>
        <w:ind w:firstLine="6" w:firstLineChars="0"/>
        <w:rPr>
          <w:sz w:val="24"/>
        </w:rPr>
      </w:pPr>
      <w:r>
        <w:rPr>
          <w:rFonts w:hint="eastAsia"/>
          <w:sz w:val="24"/>
        </w:rPr>
        <w:t>中国城市、县地理海拔、地理粗糙程度(Ruggedness)数据库（截面数据）</w:t>
      </w:r>
    </w:p>
    <w:p w14:paraId="101F1431">
      <w:pPr>
        <w:pStyle w:val="18"/>
        <w:numPr>
          <w:ilvl w:val="0"/>
          <w:numId w:val="2"/>
        </w:numPr>
        <w:ind w:firstLine="6" w:firstLineChars="0"/>
        <w:rPr>
          <w:sz w:val="24"/>
        </w:rPr>
      </w:pPr>
      <w:r>
        <w:rPr>
          <w:rFonts w:hint="eastAsia"/>
          <w:sz w:val="24"/>
        </w:rPr>
        <w:t>中国地级市间最短路径，最短通勤时间数据库（2018年底图）</w:t>
      </w:r>
    </w:p>
    <w:p w14:paraId="2555A15C">
      <w:pPr>
        <w:pStyle w:val="18"/>
        <w:numPr>
          <w:ilvl w:val="0"/>
          <w:numId w:val="2"/>
        </w:numPr>
        <w:ind w:firstLine="6" w:firstLineChars="0"/>
        <w:rPr>
          <w:sz w:val="24"/>
        </w:rPr>
      </w:pPr>
      <w:r>
        <w:rPr>
          <w:rFonts w:hint="eastAsia"/>
          <w:sz w:val="24"/>
        </w:rPr>
        <w:t>中国地级市到主要港口的最短路径（Openstreetmap2018）</w:t>
      </w:r>
    </w:p>
    <w:p w14:paraId="10F467AB">
      <w:pPr>
        <w:pStyle w:val="18"/>
        <w:numPr>
          <w:ilvl w:val="0"/>
          <w:numId w:val="2"/>
        </w:numPr>
        <w:ind w:firstLine="6" w:firstLineChars="0"/>
        <w:rPr>
          <w:sz w:val="24"/>
        </w:rPr>
      </w:pPr>
      <w:r>
        <w:rPr>
          <w:rFonts w:hint="eastAsia"/>
          <w:sz w:val="24"/>
        </w:rPr>
        <w:t>中国地级市、县级市pm2.5均值数据库（1998-2015）</w:t>
      </w:r>
    </w:p>
    <w:p w14:paraId="4ECE2503">
      <w:pPr>
        <w:pStyle w:val="18"/>
        <w:numPr>
          <w:ilvl w:val="0"/>
          <w:numId w:val="2"/>
        </w:numPr>
        <w:ind w:firstLine="6" w:firstLineChars="0"/>
        <w:rPr>
          <w:sz w:val="24"/>
        </w:rPr>
      </w:pPr>
      <w:r>
        <w:rPr>
          <w:rFonts w:hint="eastAsia"/>
          <w:sz w:val="24"/>
        </w:rPr>
        <w:t>NASA的Landscan中国地级市、县级市0.5*0.5网格的人口密度数据2000-2017.</w:t>
      </w:r>
    </w:p>
    <w:p w14:paraId="131A9F88">
      <w:pPr>
        <w:pStyle w:val="18"/>
        <w:ind w:left="360" w:firstLine="0" w:firstLineChars="0"/>
      </w:pPr>
      <w:r>
        <w:rPr>
          <w:rFonts w:hint="eastAsia"/>
          <w:sz w:val="24"/>
        </w:rPr>
        <w:t>相应数据库详细信息</w:t>
      </w:r>
      <w:r>
        <w:rPr>
          <w:rFonts w:hint="eastAsia" w:ascii="宋体" w:hAnsi="宋体"/>
          <w:color w:val="000000"/>
          <w:sz w:val="24"/>
        </w:rPr>
        <w:t>请登录云平台（</w:t>
      </w:r>
      <w:r>
        <w:fldChar w:fldCharType="begin"/>
      </w:r>
      <w:r>
        <w:instrText xml:space="preserve"> HYPERLINK "http://192.168.130.15/" </w:instrText>
      </w:r>
      <w:r>
        <w:fldChar w:fldCharType="separate"/>
      </w:r>
      <w:r>
        <w:rPr>
          <w:rStyle w:val="13"/>
          <w:rFonts w:ascii="宋体" w:hAnsi="宋体"/>
          <w:sz w:val="24"/>
        </w:rPr>
        <w:t>http://192.168.130.15/</w:t>
      </w:r>
      <w:r>
        <w:rPr>
          <w:rStyle w:val="13"/>
          <w:rFonts w:ascii="宋体" w:hAnsi="宋体"/>
          <w:sz w:val="24"/>
        </w:rPr>
        <w:fldChar w:fldCharType="end"/>
      </w:r>
      <w:r>
        <w:rPr>
          <w:rFonts w:hint="eastAsia" w:ascii="宋体" w:hAnsi="宋体"/>
          <w:color w:val="000000"/>
          <w:sz w:val="24"/>
        </w:rPr>
        <w:t>）。</w:t>
      </w:r>
    </w:p>
    <w:p w14:paraId="18F949F7">
      <w:pPr>
        <w:rPr>
          <w:sz w:val="24"/>
        </w:rPr>
      </w:pPr>
      <w:r>
        <w:rPr>
          <w:rFonts w:hint="eastAsia"/>
          <w:sz w:val="24"/>
        </w:rPr>
        <w:t>查阅数据库的说明文件。</w:t>
      </w:r>
    </w:p>
    <w:p w14:paraId="5B173FC0">
      <w:pPr>
        <w:pStyle w:val="18"/>
        <w:spacing w:line="360" w:lineRule="auto"/>
        <w:ind w:left="360" w:firstLine="241" w:firstLineChars="100"/>
        <w:rPr>
          <w:rFonts w:ascii="宋体" w:hAnsi="宋体"/>
          <w:b/>
          <w:color w:val="000000"/>
          <w:sz w:val="24"/>
        </w:rPr>
      </w:pPr>
      <w:r>
        <w:rPr>
          <w:rFonts w:hint="eastAsia" w:ascii="宋体" w:hAnsi="宋体"/>
          <w:b/>
          <w:color w:val="000000"/>
          <w:sz w:val="24"/>
        </w:rPr>
        <w:t>1</w:t>
      </w:r>
      <w:r>
        <w:rPr>
          <w:rFonts w:hint="eastAsia" w:ascii="宋体" w:hAnsi="宋体"/>
          <w:b/>
          <w:color w:val="000000"/>
          <w:sz w:val="24"/>
          <w:lang w:val="en-US" w:eastAsia="zh-CN"/>
        </w:rPr>
        <w:t>8</w:t>
      </w:r>
      <w:r>
        <w:rPr>
          <w:rFonts w:hint="eastAsia" w:ascii="宋体" w:hAnsi="宋体"/>
          <w:b/>
          <w:color w:val="000000"/>
          <w:sz w:val="24"/>
        </w:rPr>
        <w:t>. 全国地市级财政经济基础数据库(学院自建)</w:t>
      </w:r>
    </w:p>
    <w:p w14:paraId="4A20280F">
      <w:pPr>
        <w:pStyle w:val="19"/>
        <w:spacing w:line="360" w:lineRule="exact"/>
        <w:ind w:firstLine="480"/>
        <w:rPr>
          <w:rFonts w:ascii="宋体" w:hAnsi="宋体" w:eastAsia="宋体"/>
          <w:sz w:val="24"/>
          <w:szCs w:val="24"/>
        </w:rPr>
      </w:pPr>
      <w:r>
        <w:rPr>
          <w:rFonts w:hint="eastAsia" w:ascii="宋体" w:hAnsi="宋体" w:eastAsia="宋体"/>
          <w:sz w:val="24"/>
          <w:szCs w:val="24"/>
        </w:rPr>
        <w:t xml:space="preserve"> “全国地市级财政经济基础数据库”是南开大学“双一流”基金资助的自建数据库，由经济学院财政学系郭玉清教授领衔的中青年技术团队追踪整理完成，前后分两期，耗时近5年。本数据库涵盖了全国31个省、405个地级市的基础数据，时间跨度1</w:t>
      </w:r>
      <w:r>
        <w:rPr>
          <w:rFonts w:ascii="宋体" w:hAnsi="宋体" w:eastAsia="宋体"/>
          <w:sz w:val="24"/>
          <w:szCs w:val="24"/>
        </w:rPr>
        <w:t>8</w:t>
      </w:r>
      <w:r>
        <w:rPr>
          <w:rFonts w:hint="eastAsia" w:ascii="宋体" w:hAnsi="宋体" w:eastAsia="宋体"/>
          <w:sz w:val="24"/>
          <w:szCs w:val="24"/>
        </w:rPr>
        <w:t>年（1997-201</w:t>
      </w:r>
      <w:r>
        <w:rPr>
          <w:rFonts w:ascii="宋体" w:hAnsi="宋体" w:eastAsia="宋体"/>
          <w:sz w:val="24"/>
          <w:szCs w:val="24"/>
        </w:rPr>
        <w:t>5</w:t>
      </w:r>
      <w:r>
        <w:rPr>
          <w:rFonts w:hint="eastAsia" w:ascii="宋体" w:hAnsi="宋体" w:eastAsia="宋体"/>
          <w:sz w:val="24"/>
          <w:szCs w:val="24"/>
        </w:rPr>
        <w:t>），基础指标涉及地级市财政税收、经济发展、资源结构、公共服务等统计类别，共计41个。截至目前，本数据库的总体数据容量为3</w:t>
      </w:r>
      <w:r>
        <w:rPr>
          <w:rFonts w:ascii="宋体" w:hAnsi="宋体" w:eastAsia="宋体"/>
          <w:sz w:val="24"/>
          <w:szCs w:val="24"/>
        </w:rPr>
        <w:t>0</w:t>
      </w:r>
      <w:r>
        <w:rPr>
          <w:rFonts w:hint="eastAsia" w:ascii="宋体" w:hAnsi="宋体" w:eastAsia="宋体"/>
          <w:sz w:val="24"/>
          <w:szCs w:val="24"/>
        </w:rPr>
        <w:t>万个，年均1.7万个；指标数据通过查询《全国地市县财政统计资料》（1997-2009）、《中国区域经济统计年鉴》（2000-201</w:t>
      </w:r>
      <w:r>
        <w:rPr>
          <w:rFonts w:ascii="宋体" w:hAnsi="宋体" w:eastAsia="宋体"/>
          <w:sz w:val="24"/>
          <w:szCs w:val="24"/>
        </w:rPr>
        <w:t>4</w:t>
      </w:r>
      <w:r>
        <w:rPr>
          <w:rFonts w:hint="eastAsia" w:ascii="宋体" w:hAnsi="宋体" w:eastAsia="宋体"/>
          <w:sz w:val="24"/>
          <w:szCs w:val="24"/>
        </w:rPr>
        <w:t>）等统计年鉴获取，并经万得咨询金融终端（WFT）验证，来源真实、可靠。课题组将陆续增补后续年度数据，确保数据时效性和数据库建设的持续性，服务学院师生科研工作。</w:t>
      </w:r>
    </w:p>
    <w:p w14:paraId="29966266">
      <w:pPr>
        <w:pStyle w:val="19"/>
        <w:spacing w:before="156" w:beforeLines="50" w:after="156" w:afterLines="50" w:line="360" w:lineRule="exact"/>
        <w:ind w:firstLine="480"/>
        <w:rPr>
          <w:rFonts w:hint="eastAsia" w:ascii="宋体" w:hAnsi="宋体" w:eastAsia="宋体"/>
          <w:sz w:val="24"/>
          <w:szCs w:val="24"/>
        </w:rPr>
      </w:pPr>
      <w:r>
        <w:rPr>
          <w:rFonts w:hint="eastAsia" w:ascii="宋体" w:hAnsi="宋体" w:eastAsia="宋体"/>
          <w:sz w:val="24"/>
          <w:szCs w:val="24"/>
        </w:rPr>
        <w:t>主要指标有：一般预算收入、税收收入、增值税、营业税、企业所得税、个人所得税、城市维护建设税、返还性收入、一般性转移支付、专项转移支付、一般预算支出、土地有偿使用收入、土地有偿使用支出、基金预算收入、基金预算支出、地区生产总值、第一产业GDP、第二产业GDP、第三产业GDP、地区生产总值指数、固定资产投资、货物进出口总额、外商直接投资额实际使用额以及</w:t>
      </w:r>
      <w:r>
        <w:rPr>
          <w:rFonts w:hint="eastAsia" w:ascii="宋体" w:hAnsi="宋体" w:eastAsia="宋体" w:cs="Times New Roman"/>
          <w:b/>
          <w:color w:val="000000"/>
          <w:kern w:val="2"/>
          <w:sz w:val="24"/>
          <w:szCs w:val="24"/>
          <w:lang w:val="en-US" w:eastAsia="zh-CN" w:bidi="ar-SA"/>
        </w:rPr>
        <w:t>金</w:t>
      </w:r>
      <w:r>
        <w:rPr>
          <w:rFonts w:hint="eastAsia" w:ascii="宋体" w:hAnsi="宋体" w:eastAsia="宋体"/>
          <w:sz w:val="24"/>
          <w:szCs w:val="24"/>
          <w:lang w:val="en-US" w:eastAsia="zh-CN"/>
        </w:rPr>
        <w:t>融</w:t>
      </w:r>
      <w:r>
        <w:rPr>
          <w:rFonts w:hint="eastAsia" w:ascii="宋体" w:hAnsi="宋体" w:eastAsia="宋体"/>
          <w:sz w:val="24"/>
          <w:szCs w:val="24"/>
        </w:rPr>
        <w:t>存款、人口、就业等方面的指标。</w:t>
      </w:r>
    </w:p>
    <w:p w14:paraId="38C25544">
      <w:pPr>
        <w:numPr>
          <w:ilvl w:val="0"/>
          <w:numId w:val="3"/>
        </w:numPr>
        <w:spacing w:after="0"/>
        <w:ind w:firstLine="482" w:firstLineChars="200"/>
        <w:jc w:val="both"/>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全国地市财政债务数据库</w:t>
      </w:r>
    </w:p>
    <w:p w14:paraId="758162CB">
      <w:pPr>
        <w:pStyle w:val="19"/>
        <w:spacing w:before="156" w:beforeLines="50" w:after="156" w:afterLines="50" w:line="360" w:lineRule="exact"/>
        <w:ind w:firstLine="480"/>
        <w:rPr>
          <w:rFonts w:hint="eastAsia" w:ascii="宋体" w:hAnsi="宋体" w:eastAsia="宋体"/>
          <w:sz w:val="24"/>
          <w:szCs w:val="24"/>
        </w:rPr>
      </w:pPr>
      <w:r>
        <w:rPr>
          <w:rFonts w:hint="eastAsia" w:ascii="宋体" w:hAnsi="宋体" w:eastAsia="宋体"/>
          <w:sz w:val="24"/>
          <w:szCs w:val="24"/>
          <w:lang w:val="en-US" w:eastAsia="zh-CN"/>
        </w:rPr>
        <w:t>数据库</w:t>
      </w:r>
      <w:r>
        <w:rPr>
          <w:rFonts w:hint="eastAsia" w:ascii="宋体" w:hAnsi="宋体" w:eastAsia="宋体"/>
          <w:sz w:val="24"/>
          <w:szCs w:val="24"/>
        </w:rPr>
        <w:t>是教育部哲学社会科学实验室专项基金资助的自建数据库，由经济学院郭玉清教授团队手工搜集整理完成。本数据库覆盖了全国31个省份、331个城市的基础数据，时间跨度10年（2015-2024），基础指标涉及全国地级市一般公共预算收支及转移支付、政府性基金收支及转移支付、地方政府债务限额及余额等统计指标，共计22个。截至目前，本数据库的总体数据容量为7.2万个，基础数据主要通过查询各地级市政府门户网站，利用机器学习算法、文本分析、手工搜集、专业数据库匹配等方式获取，数据来源真实、可靠。本数据库将陆续增补后续年份数据，确保数据时效性和数据库建设的持续性，服务学院师生教学科研工作。</w:t>
      </w:r>
    </w:p>
    <w:p w14:paraId="29DDB6AC">
      <w:pPr>
        <w:pStyle w:val="19"/>
        <w:spacing w:before="156" w:beforeLines="50" w:after="156" w:afterLines="50" w:line="360" w:lineRule="exact"/>
        <w:ind w:firstLine="480"/>
        <w:rPr>
          <w:rFonts w:hint="default" w:ascii="宋体" w:hAnsi="宋体" w:eastAsia="宋体"/>
          <w:sz w:val="24"/>
          <w:szCs w:val="24"/>
          <w:lang w:val="en-US" w:eastAsia="zh-CN"/>
        </w:rPr>
      </w:pPr>
      <w:r>
        <w:rPr>
          <w:rFonts w:hint="eastAsia" w:ascii="宋体" w:hAnsi="宋体" w:eastAsia="宋体"/>
          <w:sz w:val="24"/>
          <w:szCs w:val="24"/>
        </w:rPr>
        <w:t>本数据库包含的主要统计指标有：一般公共预算收入、税收收入、一般公共预算支出、社会保障和就业支出、一般公共预算转移支付、政府性基金收入、国有土地使用权出让金收入、政府性基金支出、政府性基金转移支付、地方政府债务余额、一般债务余额、专项债务余额、地方政府债务限额、一般债务限额、专项债务限额等。</w:t>
      </w:r>
    </w:p>
    <w:p w14:paraId="0E415E42">
      <w:pPr>
        <w:pStyle w:val="19"/>
        <w:numPr>
          <w:ilvl w:val="0"/>
          <w:numId w:val="4"/>
        </w:numPr>
        <w:spacing w:before="156" w:beforeLines="50" w:after="156" w:afterLines="50" w:line="360" w:lineRule="exact"/>
        <w:ind w:firstLine="482"/>
        <w:rPr>
          <w:rFonts w:ascii="宋体" w:hAnsi="宋体" w:eastAsia="宋体"/>
          <w:b/>
          <w:sz w:val="24"/>
          <w:szCs w:val="24"/>
        </w:rPr>
      </w:pPr>
      <w:r>
        <w:rPr>
          <w:rFonts w:hint="eastAsia" w:ascii="宋体" w:hAnsi="宋体" w:eastAsia="宋体"/>
          <w:b/>
          <w:sz w:val="24"/>
          <w:szCs w:val="24"/>
        </w:rPr>
        <w:t xml:space="preserve">企业专利信息数据库（学院自建）    </w:t>
      </w:r>
    </w:p>
    <w:p w14:paraId="3DC20D46">
      <w:pPr>
        <w:pStyle w:val="19"/>
        <w:spacing w:before="156" w:beforeLines="50" w:after="156" w:afterLines="50" w:line="360" w:lineRule="exact"/>
        <w:ind w:firstLine="480"/>
        <w:rPr>
          <w:rFonts w:hint="eastAsia" w:ascii="宋体" w:hAnsi="宋体" w:eastAsia="宋体"/>
          <w:sz w:val="24"/>
          <w:szCs w:val="24"/>
        </w:rPr>
      </w:pPr>
      <w:r>
        <w:rPr>
          <w:rFonts w:hint="eastAsia" w:ascii="宋体" w:hAnsi="宋体" w:eastAsia="宋体"/>
          <w:sz w:val="24"/>
          <w:szCs w:val="24"/>
        </w:rPr>
        <w:t>本数据库的原始数据主要来源于国家知识产权局和大为专利引擎网站，涵盖了1980-2014年中国全部企业申请的350万条发明专利和250万条实用新型专利。涉及的指标涵盖专利申请日期、公开日期、授权日期、摘要、专利类型、专利领域分类号、专利引用次数、专利法律状态等信息。</w:t>
      </w:r>
    </w:p>
    <w:p w14:paraId="17F8BF70">
      <w:pPr>
        <w:pStyle w:val="18"/>
        <w:spacing w:line="360" w:lineRule="auto"/>
        <w:ind w:left="360" w:firstLine="241" w:firstLineChars="100"/>
        <w:rPr>
          <w:rFonts w:ascii="宋体" w:hAnsi="宋体"/>
          <w:b/>
          <w:color w:val="000000"/>
          <w:sz w:val="24"/>
        </w:rPr>
      </w:pPr>
      <w:r>
        <w:rPr>
          <w:rFonts w:hint="eastAsia" w:ascii="宋体" w:hAnsi="宋体"/>
          <w:b/>
          <w:color w:val="000000"/>
          <w:sz w:val="24"/>
          <w:lang w:val="en-US" w:eastAsia="zh-CN"/>
        </w:rPr>
        <w:t>21</w:t>
      </w:r>
      <w:r>
        <w:rPr>
          <w:rFonts w:hint="eastAsia" w:ascii="宋体" w:hAnsi="宋体"/>
          <w:b/>
          <w:color w:val="000000"/>
          <w:sz w:val="24"/>
        </w:rPr>
        <w:t>.工业企业数据库的清洗与整理(学院</w:t>
      </w:r>
      <w:r>
        <w:rPr>
          <w:rFonts w:hint="eastAsia" w:ascii="宋体" w:hAnsi="宋体"/>
          <w:b/>
          <w:color w:val="000000"/>
          <w:sz w:val="24"/>
          <w:lang w:val="en-US" w:eastAsia="zh-CN"/>
        </w:rPr>
        <w:t>整理</w:t>
      </w:r>
      <w:r>
        <w:rPr>
          <w:rFonts w:hint="eastAsia" w:ascii="宋体" w:hAnsi="宋体"/>
          <w:b/>
          <w:color w:val="000000"/>
          <w:sz w:val="24"/>
        </w:rPr>
        <w:t>)</w:t>
      </w:r>
    </w:p>
    <w:p w14:paraId="7104D20B">
      <w:pPr>
        <w:pStyle w:val="18"/>
        <w:spacing w:line="360" w:lineRule="auto"/>
        <w:ind w:left="0" w:leftChars="0" w:firstLine="480" w:firstLineChars="200"/>
        <w:rPr>
          <w:rFonts w:ascii="宋体" w:hAnsi="宋体"/>
          <w:color w:val="000000"/>
          <w:sz w:val="24"/>
        </w:rPr>
      </w:pPr>
      <w:bookmarkStart w:id="2" w:name="OLE_LINK1"/>
      <w:bookmarkStart w:id="3" w:name="OLE_LINK2"/>
      <w:r>
        <w:rPr>
          <w:rFonts w:hint="eastAsia" w:ascii="宋体" w:hAnsi="宋体"/>
          <w:color w:val="000000"/>
          <w:sz w:val="24"/>
        </w:rPr>
        <w:t>对工业企业数据库中的原始数据进行了以下整理：（1）不规范文本</w:t>
      </w:r>
      <w:bookmarkEnd w:id="2"/>
      <w:bookmarkEnd w:id="3"/>
      <w:bookmarkStart w:id="4" w:name="OLE_LINK3"/>
      <w:bookmarkStart w:id="5" w:name="OLE_LINK4"/>
      <w:r>
        <w:rPr>
          <w:rFonts w:hint="eastAsia" w:ascii="宋体" w:hAnsi="宋体"/>
          <w:color w:val="000000"/>
          <w:sz w:val="24"/>
        </w:rPr>
        <w:t>的整理（2）填充缺失值</w:t>
      </w:r>
      <w:bookmarkEnd w:id="4"/>
      <w:bookmarkEnd w:id="5"/>
      <w:r>
        <w:rPr>
          <w:rFonts w:hint="eastAsia" w:ascii="宋体" w:hAnsi="宋体"/>
          <w:color w:val="000000"/>
          <w:sz w:val="24"/>
        </w:rPr>
        <w:t>（3）修正不一致的观测值。</w:t>
      </w:r>
    </w:p>
    <w:p w14:paraId="4574DEFE">
      <w:pPr>
        <w:pStyle w:val="18"/>
        <w:spacing w:line="360" w:lineRule="auto"/>
        <w:ind w:left="0" w:leftChars="0" w:firstLine="480" w:firstLineChars="200"/>
        <w:rPr>
          <w:rFonts w:ascii="宋体" w:hAnsi="宋体"/>
          <w:color w:val="000000"/>
          <w:sz w:val="24"/>
        </w:rPr>
      </w:pPr>
      <w:r>
        <w:rPr>
          <w:rFonts w:hint="eastAsia" w:ascii="宋体" w:hAnsi="宋体"/>
          <w:color w:val="000000"/>
          <w:sz w:val="24"/>
        </w:rPr>
        <w:t>整理后的数据共包含30个省、自治区、直辖市在1998-</w:t>
      </w:r>
      <w:r>
        <w:rPr>
          <w:rFonts w:ascii="宋体" w:hAnsi="宋体"/>
          <w:color w:val="000000"/>
          <w:sz w:val="24"/>
        </w:rPr>
        <w:t>2013</w:t>
      </w:r>
      <w:r>
        <w:rPr>
          <w:rFonts w:hint="eastAsia" w:ascii="宋体" w:hAnsi="宋体"/>
          <w:color w:val="000000"/>
          <w:sz w:val="24"/>
        </w:rPr>
        <w:t>年的数据。共110个变量，包括企业名称、企业代码、省份、年份、财务指标等。4,</w:t>
      </w:r>
      <w:r>
        <w:rPr>
          <w:rFonts w:ascii="宋体" w:hAnsi="宋体"/>
          <w:color w:val="000000"/>
          <w:sz w:val="24"/>
        </w:rPr>
        <w:t>269,035</w:t>
      </w:r>
      <w:r>
        <w:rPr>
          <w:rFonts w:hint="eastAsia" w:ascii="宋体" w:hAnsi="宋体"/>
          <w:color w:val="000000"/>
          <w:sz w:val="24"/>
        </w:rPr>
        <w:t>个观测值。</w:t>
      </w:r>
    </w:p>
    <w:p w14:paraId="60D5B2D8">
      <w:pPr>
        <w:pStyle w:val="18"/>
        <w:spacing w:line="360" w:lineRule="auto"/>
        <w:ind w:left="360" w:firstLine="241" w:firstLineChars="100"/>
        <w:rPr>
          <w:rFonts w:ascii="宋体" w:hAnsi="宋体"/>
          <w:b/>
          <w:color w:val="000000"/>
          <w:sz w:val="24"/>
        </w:rPr>
      </w:pPr>
      <w:r>
        <w:rPr>
          <w:rFonts w:hint="eastAsia" w:ascii="宋体" w:hAnsi="宋体"/>
          <w:b/>
          <w:color w:val="000000"/>
          <w:sz w:val="24"/>
          <w:lang w:val="en-US" w:eastAsia="zh-CN"/>
        </w:rPr>
        <w:t>22</w:t>
      </w:r>
      <w:r>
        <w:rPr>
          <w:rFonts w:hint="eastAsia" w:ascii="宋体" w:hAnsi="宋体"/>
          <w:b/>
          <w:color w:val="000000"/>
          <w:sz w:val="24"/>
        </w:rPr>
        <w:t>. 海关数据预处理(学院</w:t>
      </w:r>
      <w:r>
        <w:rPr>
          <w:rFonts w:hint="eastAsia" w:ascii="宋体" w:hAnsi="宋体"/>
          <w:b/>
          <w:color w:val="000000"/>
          <w:sz w:val="24"/>
          <w:lang w:val="en-US" w:eastAsia="zh-CN"/>
        </w:rPr>
        <w:t>整理</w:t>
      </w:r>
      <w:r>
        <w:rPr>
          <w:rFonts w:hint="eastAsia" w:ascii="宋体" w:hAnsi="宋体"/>
          <w:b/>
          <w:color w:val="000000"/>
          <w:sz w:val="24"/>
        </w:rPr>
        <w:t>)</w:t>
      </w:r>
    </w:p>
    <w:p w14:paraId="7042F03F">
      <w:pPr>
        <w:pStyle w:val="18"/>
        <w:spacing w:line="360" w:lineRule="auto"/>
        <w:ind w:left="360" w:firstLine="0" w:firstLineChars="0"/>
        <w:rPr>
          <w:rFonts w:ascii="宋体" w:hAnsi="宋体"/>
          <w:color w:val="000000"/>
          <w:sz w:val="24"/>
        </w:rPr>
      </w:pPr>
      <w:r>
        <w:rPr>
          <w:rFonts w:hint="eastAsia" w:ascii="宋体" w:hAnsi="宋体"/>
          <w:color w:val="000000"/>
          <w:sz w:val="24"/>
        </w:rPr>
        <w:t xml:space="preserve">  对2000至2014年的海关原始数据进行了以下整理：</w:t>
      </w:r>
    </w:p>
    <w:p w14:paraId="4A9F317A">
      <w:pPr>
        <w:pStyle w:val="18"/>
        <w:spacing w:line="360" w:lineRule="auto"/>
        <w:ind w:left="360" w:firstLine="0" w:firstLineChars="0"/>
        <w:rPr>
          <w:rFonts w:ascii="宋体" w:hAnsi="宋体"/>
          <w:color w:val="000000"/>
          <w:sz w:val="24"/>
        </w:rPr>
      </w:pPr>
      <w:r>
        <w:rPr>
          <w:rFonts w:hint="eastAsia" w:ascii="宋体" w:hAnsi="宋体"/>
          <w:color w:val="000000"/>
          <w:sz w:val="24"/>
        </w:rPr>
        <w:t>（1）</w:t>
      </w:r>
      <w:r>
        <w:rPr>
          <w:rFonts w:ascii="宋体" w:hAnsi="宋体"/>
          <w:color w:val="000000"/>
          <w:sz w:val="24"/>
        </w:rPr>
        <w:t>将海关原始数据转换成STATA格式数据。</w:t>
      </w:r>
    </w:p>
    <w:p w14:paraId="4AA2CA26">
      <w:pPr>
        <w:pStyle w:val="18"/>
        <w:spacing w:line="360" w:lineRule="auto"/>
        <w:ind w:left="360" w:firstLine="0" w:firstLineChars="0"/>
        <w:rPr>
          <w:rFonts w:ascii="宋体" w:hAnsi="宋体"/>
          <w:color w:val="000000"/>
          <w:sz w:val="24"/>
        </w:rPr>
      </w:pPr>
      <w:r>
        <w:rPr>
          <w:rFonts w:hint="eastAsia" w:ascii="宋体" w:hAnsi="宋体"/>
          <w:color w:val="000000"/>
          <w:sz w:val="24"/>
        </w:rPr>
        <w:t>（</w:t>
      </w:r>
      <w:r>
        <w:rPr>
          <w:rFonts w:ascii="宋体" w:hAnsi="宋体"/>
          <w:color w:val="000000"/>
          <w:sz w:val="24"/>
        </w:rPr>
        <w:t>2</w:t>
      </w:r>
      <w:r>
        <w:rPr>
          <w:rFonts w:hint="eastAsia" w:ascii="宋体" w:hAnsi="宋体"/>
          <w:color w:val="000000"/>
          <w:sz w:val="24"/>
        </w:rPr>
        <w:t>）清</w:t>
      </w:r>
      <w:r>
        <w:rPr>
          <w:rFonts w:ascii="宋体" w:hAnsi="宋体"/>
          <w:color w:val="000000"/>
          <w:sz w:val="24"/>
        </w:rPr>
        <w:t>理海关数据中重复的企业数据。</w:t>
      </w:r>
    </w:p>
    <w:p w14:paraId="4E1D98A6">
      <w:pPr>
        <w:pStyle w:val="18"/>
        <w:spacing w:line="360" w:lineRule="auto"/>
        <w:ind w:left="360" w:firstLine="0" w:firstLineChars="0"/>
        <w:rPr>
          <w:rFonts w:ascii="宋体" w:hAnsi="宋体"/>
          <w:color w:val="000000"/>
          <w:sz w:val="24"/>
        </w:rPr>
      </w:pPr>
      <w:r>
        <w:rPr>
          <w:rFonts w:hint="eastAsia" w:ascii="宋体" w:hAnsi="宋体"/>
          <w:color w:val="000000"/>
          <w:sz w:val="24"/>
        </w:rPr>
        <w:t>（</w:t>
      </w:r>
      <w:r>
        <w:rPr>
          <w:rFonts w:ascii="宋体" w:hAnsi="宋体"/>
          <w:color w:val="000000"/>
          <w:sz w:val="24"/>
        </w:rPr>
        <w:t>3</w:t>
      </w:r>
      <w:r>
        <w:rPr>
          <w:rFonts w:hint="eastAsia" w:ascii="宋体" w:hAnsi="宋体"/>
          <w:color w:val="000000"/>
          <w:sz w:val="24"/>
        </w:rPr>
        <w:t>）跟</w:t>
      </w:r>
      <w:r>
        <w:rPr>
          <w:rFonts w:ascii="宋体" w:hAnsi="宋体"/>
          <w:color w:val="000000"/>
          <w:sz w:val="24"/>
        </w:rPr>
        <w:t>据海关数据的企业名称，企业代码等信息进行交叉补充缺失企业信息。</w:t>
      </w:r>
    </w:p>
    <w:p w14:paraId="6D46D2B2">
      <w:pPr>
        <w:pStyle w:val="18"/>
        <w:spacing w:line="360" w:lineRule="auto"/>
        <w:ind w:left="360" w:firstLine="0" w:firstLineChars="0"/>
        <w:rPr>
          <w:rFonts w:ascii="宋体" w:hAnsi="宋体"/>
          <w:color w:val="000000"/>
          <w:sz w:val="24"/>
        </w:rPr>
      </w:pPr>
      <w:r>
        <w:rPr>
          <w:rFonts w:hint="eastAsia" w:ascii="宋体" w:hAnsi="宋体"/>
          <w:color w:val="000000"/>
          <w:sz w:val="24"/>
        </w:rPr>
        <w:t>（4）</w:t>
      </w:r>
      <w:r>
        <w:rPr>
          <w:rFonts w:ascii="宋体" w:hAnsi="宋体"/>
          <w:color w:val="000000"/>
          <w:sz w:val="24"/>
        </w:rPr>
        <w:t>将字符型</w:t>
      </w:r>
      <w:r>
        <w:rPr>
          <w:rFonts w:hint="eastAsia" w:ascii="宋体" w:hAnsi="宋体"/>
          <w:color w:val="000000"/>
          <w:sz w:val="24"/>
        </w:rPr>
        <w:t>数字</w:t>
      </w:r>
      <w:r>
        <w:rPr>
          <w:rFonts w:ascii="宋体" w:hAnsi="宋体"/>
          <w:color w:val="000000"/>
          <w:sz w:val="24"/>
        </w:rPr>
        <w:t>数据转换成数值型数据。</w:t>
      </w:r>
    </w:p>
    <w:p w14:paraId="27903154">
      <w:pPr>
        <w:pStyle w:val="18"/>
        <w:spacing w:line="360" w:lineRule="auto"/>
        <w:ind w:left="360" w:firstLine="0" w:firstLineChars="0"/>
        <w:rPr>
          <w:rFonts w:ascii="宋体" w:hAnsi="宋体"/>
          <w:color w:val="000000"/>
          <w:sz w:val="24"/>
        </w:rPr>
      </w:pPr>
      <w:r>
        <w:rPr>
          <w:rFonts w:hint="eastAsia" w:ascii="宋体" w:hAnsi="宋体"/>
          <w:color w:val="000000"/>
          <w:sz w:val="24"/>
        </w:rPr>
        <w:t>（5）清理不合理数据。</w:t>
      </w:r>
    </w:p>
    <w:p w14:paraId="1B6C8847">
      <w:pPr>
        <w:pStyle w:val="18"/>
        <w:spacing w:line="360" w:lineRule="auto"/>
        <w:ind w:left="360" w:firstLine="0" w:firstLineChars="0"/>
        <w:rPr>
          <w:rFonts w:ascii="宋体" w:hAnsi="宋体"/>
          <w:color w:val="000000"/>
          <w:sz w:val="24"/>
        </w:rPr>
      </w:pPr>
      <w:r>
        <w:rPr>
          <w:rFonts w:hint="eastAsia" w:ascii="宋体" w:hAnsi="宋体"/>
          <w:color w:val="000000"/>
          <w:sz w:val="24"/>
        </w:rPr>
        <w:t>（6）将变量名转换为具有意义、容易识别的变量名。</w:t>
      </w:r>
    </w:p>
    <w:p w14:paraId="48504624">
      <w:pPr>
        <w:pStyle w:val="18"/>
        <w:spacing w:line="360" w:lineRule="auto"/>
        <w:ind w:left="360" w:firstLine="0" w:firstLineChars="0"/>
        <w:rPr>
          <w:rFonts w:ascii="宋体" w:hAnsi="宋体"/>
          <w:color w:val="000000"/>
          <w:sz w:val="24"/>
        </w:rPr>
      </w:pPr>
      <w:r>
        <w:rPr>
          <w:rFonts w:hint="eastAsia" w:ascii="宋体" w:hAnsi="宋体"/>
          <w:color w:val="000000"/>
          <w:sz w:val="24"/>
        </w:rPr>
        <w:t>（7）将月度</w:t>
      </w:r>
      <w:r>
        <w:rPr>
          <w:rFonts w:ascii="宋体" w:hAnsi="宋体"/>
          <w:color w:val="000000"/>
          <w:sz w:val="24"/>
        </w:rPr>
        <w:t>数据合并成年度数据。</w:t>
      </w:r>
    </w:p>
    <w:p w14:paraId="78DD34AB">
      <w:pPr>
        <w:pStyle w:val="18"/>
        <w:spacing w:line="360" w:lineRule="auto"/>
        <w:ind w:left="360" w:firstLine="0" w:firstLineChars="0"/>
        <w:rPr>
          <w:rFonts w:ascii="宋体" w:hAnsi="宋体"/>
          <w:color w:val="000000"/>
          <w:sz w:val="24"/>
        </w:rPr>
      </w:pPr>
      <w:r>
        <w:rPr>
          <w:rFonts w:hint="eastAsia" w:ascii="宋体" w:hAnsi="宋体"/>
          <w:color w:val="000000"/>
          <w:sz w:val="24"/>
        </w:rPr>
        <w:t>（8）按</w:t>
      </w:r>
      <w:r>
        <w:rPr>
          <w:rFonts w:ascii="宋体" w:hAnsi="宋体"/>
          <w:color w:val="000000"/>
          <w:sz w:val="24"/>
        </w:rPr>
        <w:t>进出口</w:t>
      </w:r>
      <w:r>
        <w:rPr>
          <w:rFonts w:hint="eastAsia" w:ascii="宋体" w:hAnsi="宋体"/>
          <w:color w:val="000000"/>
          <w:sz w:val="24"/>
        </w:rPr>
        <w:t>归并汇总</w:t>
      </w:r>
      <w:r>
        <w:rPr>
          <w:rFonts w:ascii="宋体" w:hAnsi="宋体"/>
          <w:color w:val="000000"/>
          <w:sz w:val="24"/>
        </w:rPr>
        <w:t>。</w:t>
      </w:r>
    </w:p>
    <w:p w14:paraId="7D9FDF6A">
      <w:pPr>
        <w:pStyle w:val="18"/>
        <w:spacing w:line="360" w:lineRule="auto"/>
        <w:ind w:left="360" w:firstLine="0" w:firstLineChars="0"/>
        <w:rPr>
          <w:rFonts w:ascii="宋体" w:hAnsi="宋体"/>
          <w:color w:val="000000"/>
          <w:sz w:val="24"/>
        </w:rPr>
      </w:pPr>
      <w:r>
        <w:rPr>
          <w:rFonts w:hint="eastAsia" w:ascii="宋体" w:hAnsi="宋体"/>
          <w:color w:val="000000"/>
          <w:sz w:val="24"/>
        </w:rPr>
        <w:t>（9）</w:t>
      </w:r>
      <w:r>
        <w:rPr>
          <w:rFonts w:ascii="宋体" w:hAnsi="宋体"/>
          <w:color w:val="000000"/>
          <w:sz w:val="24"/>
        </w:rPr>
        <w:t>按贸易形式进行</w:t>
      </w:r>
      <w:r>
        <w:rPr>
          <w:rFonts w:hint="eastAsia" w:ascii="宋体" w:hAnsi="宋体"/>
          <w:color w:val="000000"/>
          <w:sz w:val="24"/>
        </w:rPr>
        <w:t>归并汇总</w:t>
      </w:r>
      <w:r>
        <w:rPr>
          <w:rFonts w:ascii="宋体" w:hAnsi="宋体"/>
          <w:color w:val="000000"/>
          <w:sz w:val="24"/>
        </w:rPr>
        <w:t>。</w:t>
      </w:r>
    </w:p>
    <w:p w14:paraId="516F1F37">
      <w:pPr>
        <w:pStyle w:val="18"/>
        <w:spacing w:line="360" w:lineRule="auto"/>
        <w:ind w:left="360" w:firstLine="0" w:firstLineChars="0"/>
        <w:rPr>
          <w:rFonts w:ascii="宋体" w:hAnsi="宋体"/>
          <w:color w:val="000000"/>
          <w:sz w:val="24"/>
        </w:rPr>
      </w:pPr>
      <w:r>
        <w:rPr>
          <w:rFonts w:hint="eastAsia" w:ascii="宋体" w:hAnsi="宋体"/>
          <w:color w:val="000000"/>
          <w:sz w:val="24"/>
        </w:rPr>
        <w:t>（10）</w:t>
      </w:r>
      <w:r>
        <w:rPr>
          <w:rFonts w:ascii="宋体" w:hAnsi="宋体"/>
          <w:color w:val="000000"/>
          <w:sz w:val="24"/>
        </w:rPr>
        <w:t>按贸易目的地进行</w:t>
      </w:r>
      <w:r>
        <w:rPr>
          <w:rFonts w:hint="eastAsia" w:ascii="宋体" w:hAnsi="宋体"/>
          <w:color w:val="000000"/>
          <w:sz w:val="24"/>
        </w:rPr>
        <w:t>归并汇总</w:t>
      </w:r>
      <w:r>
        <w:rPr>
          <w:rFonts w:ascii="宋体" w:hAnsi="宋体"/>
          <w:color w:val="000000"/>
          <w:sz w:val="24"/>
        </w:rPr>
        <w:t>。</w:t>
      </w:r>
    </w:p>
    <w:p w14:paraId="31AAD5EC">
      <w:pPr>
        <w:pStyle w:val="18"/>
        <w:spacing w:line="360" w:lineRule="auto"/>
        <w:ind w:left="360" w:firstLine="0" w:firstLineChars="0"/>
        <w:rPr>
          <w:rFonts w:ascii="宋体" w:hAnsi="宋体"/>
          <w:color w:val="000000"/>
          <w:sz w:val="24"/>
        </w:rPr>
      </w:pPr>
      <w:r>
        <w:rPr>
          <w:rFonts w:hint="eastAsia" w:ascii="宋体" w:hAnsi="宋体"/>
          <w:color w:val="000000"/>
          <w:sz w:val="24"/>
        </w:rPr>
        <w:t>（11）按贸易最终品、中间品进行归并汇总。</w:t>
      </w:r>
    </w:p>
    <w:p w14:paraId="53820B15">
      <w:pPr>
        <w:pStyle w:val="18"/>
        <w:spacing w:line="360" w:lineRule="auto"/>
        <w:ind w:left="360" w:firstLine="0" w:firstLineChars="0"/>
        <w:rPr>
          <w:rFonts w:hint="eastAsia" w:ascii="宋体" w:hAnsi="宋体"/>
          <w:color w:val="000000"/>
          <w:sz w:val="24"/>
        </w:rPr>
      </w:pPr>
      <w:r>
        <w:rPr>
          <w:rFonts w:hint="eastAsia" w:ascii="宋体" w:hAnsi="宋体"/>
          <w:color w:val="000000"/>
          <w:sz w:val="24"/>
        </w:rPr>
        <w:t>（12）计算企业贸易国家数量、产品种类数量。</w:t>
      </w:r>
    </w:p>
    <w:p w14:paraId="6D3B1483">
      <w:pPr>
        <w:pStyle w:val="2"/>
        <w:rPr>
          <w:lang w:eastAsia="zh-CN"/>
        </w:rPr>
      </w:pPr>
      <w:bookmarkStart w:id="6" w:name="_Toc520292927"/>
      <w:r>
        <w:rPr>
          <w:rFonts w:hint="eastAsia"/>
        </w:rPr>
        <w:t>二</w:t>
      </w:r>
      <w:r>
        <w:rPr>
          <w:rFonts w:hint="eastAsia"/>
          <w:lang w:eastAsia="zh-CN"/>
        </w:rPr>
        <w:t>．</w:t>
      </w:r>
      <w:r>
        <w:rPr>
          <w:rFonts w:hint="eastAsia"/>
        </w:rPr>
        <w:t>中国经济与社会发展统计年鉴数据库</w:t>
      </w:r>
      <w:bookmarkEnd w:id="6"/>
    </w:p>
    <w:p w14:paraId="541883B9">
      <w:pPr>
        <w:pStyle w:val="3"/>
      </w:pPr>
      <w:bookmarkStart w:id="7" w:name="_Toc520292928"/>
      <w:r>
        <w:rPr>
          <w:rFonts w:hint="eastAsia"/>
        </w:rPr>
        <w:t>1</w:t>
      </w:r>
      <w:r>
        <w:t xml:space="preserve"> 数据库介绍</w:t>
      </w:r>
      <w:bookmarkEnd w:id="7"/>
    </w:p>
    <w:p w14:paraId="1EC757E9">
      <w:pPr>
        <w:spacing w:line="360" w:lineRule="auto"/>
        <w:ind w:firstLine="480"/>
        <w:rPr>
          <w:sz w:val="24"/>
        </w:rPr>
      </w:pPr>
      <w:r>
        <w:rPr>
          <w:rFonts w:hint="eastAsia"/>
          <w:sz w:val="24"/>
        </w:rPr>
        <w:t>《中国经济与社会发展统计数据库》是一个集统计数据资源整合、数据深度挖掘分析及多维度统计指标快捷检索等功能于一体的汇集中国国民经济与社会发展统计数据的大型统计资料数据库，文献资源覆盖了我国经济社会发展的32个领域/行业，囊括了我国所有中央级、省级及其主要地市级统计年鉴和各类统计资料（普查资料、调查资料、历史统计资料汇编等等），并实时出版了国家统计局及各部委最新经济运行数据进度指标6700个、国民经济行业运行指标28000个。</w:t>
      </w:r>
      <w:bookmarkStart w:id="8" w:name="_Toc520292929"/>
    </w:p>
    <w:p w14:paraId="66C5C697">
      <w:pPr>
        <w:pStyle w:val="3"/>
      </w:pPr>
      <w:r>
        <w:rPr>
          <w:rFonts w:hint="eastAsia"/>
        </w:rPr>
        <w:t>2</w:t>
      </w:r>
      <w:r>
        <w:t xml:space="preserve"> 使用说明</w:t>
      </w:r>
      <w:bookmarkEnd w:id="8"/>
    </w:p>
    <w:p w14:paraId="6AFDCF16">
      <w:pPr>
        <w:spacing w:line="360" w:lineRule="auto"/>
        <w:ind w:firstLine="480"/>
        <w:rPr>
          <w:sz w:val="24"/>
        </w:rPr>
      </w:pPr>
      <w:r>
        <w:rPr>
          <w:rFonts w:hint="eastAsia"/>
          <w:sz w:val="24"/>
          <w:lang w:val="en-US" w:eastAsia="zh-CN"/>
        </w:rPr>
        <w:t>校园网范围内使用。</w:t>
      </w:r>
      <w:r>
        <w:rPr>
          <w:rFonts w:hint="eastAsia"/>
          <w:sz w:val="24"/>
        </w:rPr>
        <w:t>可在学校图书馆官网-资源-数据库-按学科分类（经济/商业/管理）页面也查收，或者直接打开：</w:t>
      </w:r>
      <w:r>
        <w:fldChar w:fldCharType="begin"/>
      </w:r>
      <w:r>
        <w:instrText xml:space="preserve"> HYPERLINK "https://data.cnki.net/" </w:instrText>
      </w:r>
      <w:r>
        <w:fldChar w:fldCharType="separate"/>
      </w:r>
      <w:r>
        <w:rPr>
          <w:rStyle w:val="13"/>
          <w:sz w:val="24"/>
        </w:rPr>
        <w:t>https://data.cnki.net/</w:t>
      </w:r>
      <w:r>
        <w:rPr>
          <w:rStyle w:val="13"/>
          <w:sz w:val="24"/>
        </w:rPr>
        <w:fldChar w:fldCharType="end"/>
      </w:r>
      <w:r>
        <w:rPr>
          <w:rFonts w:hint="eastAsia"/>
          <w:sz w:val="24"/>
        </w:rPr>
        <w:t>，</w:t>
      </w:r>
      <w:r>
        <w:rPr>
          <w:sz w:val="24"/>
        </w:rPr>
        <w:t>即可访问使用</w:t>
      </w:r>
      <w:r>
        <w:rPr>
          <w:rFonts w:hint="eastAsia"/>
          <w:sz w:val="24"/>
        </w:rPr>
        <w:t>。</w:t>
      </w:r>
    </w:p>
    <w:p w14:paraId="61FA79B2">
      <w:pPr>
        <w:spacing w:line="360" w:lineRule="auto"/>
        <w:ind w:firstLine="480"/>
        <w:rPr>
          <w:rFonts w:ascii="宋体" w:hAnsi="宋体"/>
          <w:color w:val="000000"/>
          <w:sz w:val="24"/>
        </w:rPr>
      </w:pPr>
      <w:r>
        <w:rPr>
          <w:sz w:val="24"/>
        </w:rPr>
        <w:t>注</w:t>
      </w:r>
      <w:r>
        <w:rPr>
          <w:rFonts w:hint="eastAsia"/>
          <w:sz w:val="24"/>
        </w:rPr>
        <w:t>：</w:t>
      </w:r>
      <w:r>
        <w:rPr>
          <w:rFonts w:hint="eastAsia" w:ascii="宋体" w:hAnsi="宋体"/>
          <w:color w:val="000000"/>
          <w:sz w:val="24"/>
        </w:rPr>
        <w:t>限校园网范围内访问。</w:t>
      </w:r>
    </w:p>
    <w:p w14:paraId="7179CE0A">
      <w:pPr>
        <w:pStyle w:val="2"/>
        <w:rPr>
          <w:lang w:eastAsia="zh-CN"/>
        </w:rPr>
      </w:pPr>
      <w:bookmarkStart w:id="9" w:name="_Toc520292930"/>
      <w:r>
        <w:rPr>
          <w:rFonts w:hint="eastAsia"/>
        </w:rPr>
        <w:t>三</w:t>
      </w:r>
      <w:r>
        <w:rPr>
          <w:rFonts w:hint="eastAsia"/>
          <w:lang w:eastAsia="zh-CN"/>
        </w:rPr>
        <w:t>．</w:t>
      </w:r>
      <w:r>
        <w:rPr>
          <w:rFonts w:hint="eastAsia"/>
        </w:rPr>
        <w:t>EPS全球统计数据平台</w:t>
      </w:r>
      <w:bookmarkEnd w:id="9"/>
    </w:p>
    <w:p w14:paraId="1FDC0A7D">
      <w:pPr>
        <w:pStyle w:val="3"/>
      </w:pPr>
      <w:bookmarkStart w:id="10" w:name="_Toc520292931"/>
      <w:r>
        <w:rPr>
          <w:rFonts w:hint="eastAsia"/>
        </w:rPr>
        <w:t>1．</w:t>
      </w:r>
      <w:r>
        <w:t>数据库介绍</w:t>
      </w:r>
      <w:bookmarkEnd w:id="10"/>
    </w:p>
    <w:p w14:paraId="40BE1153">
      <w:pPr>
        <w:pStyle w:val="8"/>
        <w:shd w:val="clear" w:color="auto" w:fill="FFFFFF"/>
        <w:spacing w:before="0" w:beforeAutospacing="0" w:after="0" w:afterAutospacing="0" w:line="390" w:lineRule="atLeast"/>
        <w:rPr>
          <w:rFonts w:ascii="Times New Roman" w:hAnsi="Times New Roman"/>
          <w:color w:val="auto"/>
          <w:kern w:val="2"/>
          <w:sz w:val="24"/>
          <w:szCs w:val="24"/>
        </w:rPr>
      </w:pPr>
      <w:bookmarkStart w:id="11" w:name="_Toc520292932"/>
      <w:r>
        <w:rPr>
          <w:rFonts w:hint="eastAsia" w:ascii="微软雅黑" w:hAnsi="微软雅黑" w:eastAsia="微软雅黑"/>
          <w:color w:val="333333"/>
        </w:rPr>
        <w:t xml:space="preserve">    </w:t>
      </w:r>
      <w:r>
        <w:rPr>
          <w:rFonts w:hint="eastAsia" w:ascii="Times New Roman" w:hAnsi="Times New Roman"/>
          <w:color w:val="auto"/>
          <w:kern w:val="2"/>
          <w:sz w:val="24"/>
          <w:szCs w:val="24"/>
        </w:rPr>
        <w:t>EPS（Easy Professional Superior）数据平台，是集丰富的数值型数据资源和强大的分析预测系统为一体的综合性信息服务平台。EPS数据平台大规模集成整合了各类数据资源，形成了国际数据、宏观经济、金融市场、产业运行、区域经济、贸易外经、资源环境、县市数据、人文社科多个数据库集群，包含72个数据库，拥有超过25万条统计指标的时间序列，数据总量达到40亿条，并且每年以2亿条左右的速度递增。</w:t>
      </w:r>
    </w:p>
    <w:p w14:paraId="3DF9AA9B">
      <w:pPr>
        <w:pStyle w:val="8"/>
        <w:shd w:val="clear" w:color="auto" w:fill="FFFFFF"/>
        <w:spacing w:before="0" w:beforeAutospacing="0" w:after="0" w:afterAutospacing="0" w:line="390" w:lineRule="atLeast"/>
        <w:rPr>
          <w:rFonts w:ascii="Times New Roman" w:hAnsi="Times New Roman"/>
          <w:color w:val="auto"/>
          <w:kern w:val="2"/>
          <w:sz w:val="24"/>
          <w:szCs w:val="24"/>
        </w:rPr>
      </w:pPr>
      <w:r>
        <w:rPr>
          <w:rFonts w:hint="eastAsia" w:ascii="Times New Roman" w:hAnsi="Times New Roman"/>
          <w:color w:val="auto"/>
          <w:kern w:val="2"/>
          <w:sz w:val="24"/>
          <w:szCs w:val="24"/>
        </w:rPr>
        <w:t>       EPS数据平台拥有中英文双语版本，其开发设计参考了SAS、SPSS等国际著名分析软件的设计理念和标准，提供跨库检索、数据处理、统计分析、建模预测和可视化展现于一体的强大系统功能，为各类读者、科研人员及国内外图情系统、各类研究机构提供从数据获取、数据处理、分析预测、多样展现到本地保存的一站式数据服务。</w:t>
      </w:r>
    </w:p>
    <w:p w14:paraId="56534AFA">
      <w:pPr>
        <w:pStyle w:val="3"/>
      </w:pPr>
      <w:r>
        <w:rPr>
          <w:rFonts w:hint="eastAsia"/>
        </w:rPr>
        <w:t>2</w:t>
      </w:r>
      <w:r>
        <w:t xml:space="preserve"> 使用说明</w:t>
      </w:r>
      <w:bookmarkEnd w:id="11"/>
    </w:p>
    <w:p w14:paraId="62D799F2">
      <w:pPr>
        <w:spacing w:line="360" w:lineRule="auto"/>
        <w:ind w:firstLine="480"/>
        <w:rPr>
          <w:sz w:val="24"/>
        </w:rPr>
      </w:pPr>
      <w:r>
        <w:rPr>
          <w:rFonts w:hint="eastAsia"/>
          <w:sz w:val="24"/>
          <w:lang w:val="en-US" w:eastAsia="zh-CN"/>
        </w:rPr>
        <w:t>校园网范围内使用。</w:t>
      </w:r>
      <w:r>
        <w:rPr>
          <w:rFonts w:hint="eastAsia"/>
          <w:sz w:val="24"/>
        </w:rPr>
        <w:t>可在学校图书馆官网-资源-数据库-按学科分类（经济/商业/管理）页面也查收，或者直接打开：</w:t>
      </w:r>
      <w:r>
        <w:fldChar w:fldCharType="begin"/>
      </w:r>
      <w:r>
        <w:instrText xml:space="preserve"> HYPERLINK "http://www.epsnet.com.cn/index.html" </w:instrText>
      </w:r>
      <w:r>
        <w:fldChar w:fldCharType="separate"/>
      </w:r>
      <w:r>
        <w:rPr>
          <w:rStyle w:val="13"/>
          <w:sz w:val="24"/>
        </w:rPr>
        <w:t>http://www.epsnet.com.cn/index.html</w:t>
      </w:r>
      <w:r>
        <w:rPr>
          <w:rStyle w:val="13"/>
          <w:sz w:val="24"/>
        </w:rPr>
        <w:fldChar w:fldCharType="end"/>
      </w:r>
      <w:r>
        <w:rPr>
          <w:rFonts w:hint="eastAsia"/>
          <w:sz w:val="24"/>
        </w:rPr>
        <w:t>，进入网站后点击页面右上角的“登录”按钮，平台会自动进入数据库系统。</w:t>
      </w:r>
    </w:p>
    <w:p w14:paraId="7AF3CB2D">
      <w:pPr>
        <w:spacing w:line="360" w:lineRule="auto"/>
        <w:ind w:firstLine="480"/>
        <w:rPr>
          <w:rFonts w:ascii="宋体" w:hAnsi="宋体"/>
          <w:color w:val="000000"/>
          <w:sz w:val="24"/>
        </w:rPr>
      </w:pPr>
      <w:r>
        <w:rPr>
          <w:sz w:val="24"/>
        </w:rPr>
        <w:t>注</w:t>
      </w:r>
      <w:r>
        <w:rPr>
          <w:rFonts w:hint="eastAsia"/>
          <w:sz w:val="24"/>
        </w:rPr>
        <w:t>：</w:t>
      </w:r>
      <w:r>
        <w:rPr>
          <w:rFonts w:hint="eastAsia" w:ascii="宋体" w:hAnsi="宋体"/>
          <w:color w:val="000000"/>
          <w:sz w:val="24"/>
        </w:rPr>
        <w:t>限校园网范围内访问。</w:t>
      </w:r>
    </w:p>
    <w:p w14:paraId="340F7BB9">
      <w:pPr>
        <w:pStyle w:val="2"/>
      </w:pPr>
      <w:r>
        <w:rPr>
          <w:rFonts w:hint="eastAsia"/>
        </w:rPr>
        <w:t>四．</w:t>
      </w:r>
      <w:r>
        <w:t>中国微观经济数据查询系统（EPS平台）</w:t>
      </w:r>
    </w:p>
    <w:p w14:paraId="6A693312">
      <w:pPr>
        <w:pStyle w:val="3"/>
      </w:pPr>
      <w:r>
        <w:rPr>
          <w:rFonts w:hint="eastAsia"/>
        </w:rPr>
        <w:t>1. 数据库介绍</w:t>
      </w:r>
    </w:p>
    <w:p w14:paraId="5F3CA36E">
      <w:pPr>
        <w:pStyle w:val="8"/>
        <w:shd w:val="clear" w:color="auto" w:fill="FFFFFF"/>
        <w:spacing w:before="0" w:beforeAutospacing="0" w:after="0" w:afterAutospacing="0" w:line="390" w:lineRule="atLeast"/>
        <w:rPr>
          <w:rFonts w:ascii="Times New Roman" w:hAnsi="Times New Roman"/>
          <w:color w:val="auto"/>
          <w:kern w:val="2"/>
          <w:sz w:val="24"/>
          <w:szCs w:val="24"/>
        </w:rPr>
      </w:pPr>
      <w:r>
        <w:rPr>
          <w:rFonts w:hint="eastAsia" w:ascii="Times New Roman" w:hAnsi="Times New Roman"/>
          <w:color w:val="auto"/>
          <w:kern w:val="2"/>
          <w:sz w:val="24"/>
          <w:szCs w:val="24"/>
        </w:rPr>
        <w:t xml:space="preserve"> </w:t>
      </w:r>
      <w:r>
        <w:rPr>
          <w:rFonts w:ascii="Times New Roman" w:hAnsi="Times New Roman"/>
          <w:color w:val="auto"/>
          <w:kern w:val="2"/>
          <w:sz w:val="24"/>
          <w:szCs w:val="24"/>
        </w:rPr>
        <w:t xml:space="preserve">   </w:t>
      </w:r>
      <w:r>
        <w:rPr>
          <w:rFonts w:hint="eastAsia" w:ascii="Times New Roman" w:hAnsi="Times New Roman"/>
          <w:color w:val="auto"/>
          <w:kern w:val="2"/>
          <w:sz w:val="24"/>
          <w:szCs w:val="24"/>
        </w:rPr>
        <w:t>经济数据查询系统是一款以企业层面的微观数据为基础，集数据查询、数据匹配、数据可视化于一体的数据查询系统。系统包含工业企业数据库、海关企业数据库、创新企业数据库、绿色发展四大专题数据库。各专题数据库中包含了“单年数据查询”、“时间序列数据查询”、“单年可视化”、“时间序列可视化”四大部分。同时，为方便用户进行跨学科、跨领域研究，增加了“跨库匹配”模块，实现不同专题数据库间的企业匹配。</w:t>
      </w:r>
    </w:p>
    <w:p w14:paraId="53F282D0">
      <w:pPr>
        <w:pStyle w:val="8"/>
        <w:shd w:val="clear" w:color="auto" w:fill="FFFFFF"/>
        <w:spacing w:before="0" w:beforeAutospacing="0" w:after="0" w:afterAutospacing="0" w:line="390" w:lineRule="atLeast"/>
        <w:rPr>
          <w:rFonts w:ascii="Times New Roman" w:hAnsi="Times New Roman"/>
          <w:color w:val="auto"/>
          <w:kern w:val="2"/>
          <w:sz w:val="24"/>
          <w:szCs w:val="24"/>
        </w:rPr>
      </w:pPr>
      <w:r>
        <w:rPr>
          <w:rFonts w:hint="eastAsia" w:ascii="Times New Roman" w:hAnsi="Times New Roman"/>
          <w:color w:val="auto"/>
          <w:kern w:val="2"/>
          <w:sz w:val="24"/>
          <w:szCs w:val="24"/>
        </w:rPr>
        <w:t>2. 使用方法：</w:t>
      </w:r>
    </w:p>
    <w:p w14:paraId="127663E8">
      <w:pPr>
        <w:pStyle w:val="8"/>
        <w:shd w:val="clear" w:color="auto" w:fill="FFFFFF"/>
        <w:spacing w:before="0" w:beforeAutospacing="0" w:after="0" w:afterAutospacing="0" w:line="390" w:lineRule="atLeast"/>
        <w:rPr>
          <w:rFonts w:ascii="Times New Roman" w:hAnsi="Times New Roman"/>
          <w:color w:val="auto"/>
          <w:kern w:val="2"/>
          <w:sz w:val="24"/>
          <w:szCs w:val="24"/>
        </w:rPr>
      </w:pPr>
      <w:r>
        <w:rPr>
          <w:rFonts w:ascii="Times New Roman" w:hAnsi="Times New Roman"/>
          <w:color w:val="auto"/>
          <w:kern w:val="2"/>
          <w:sz w:val="24"/>
          <w:szCs w:val="24"/>
        </w:rPr>
        <w:t xml:space="preserve">      </w:t>
      </w:r>
      <w:r>
        <w:rPr>
          <w:rFonts w:hint="eastAsia" w:ascii="Times New Roman" w:hAnsi="Times New Roman"/>
          <w:color w:val="auto"/>
          <w:kern w:val="2"/>
          <w:sz w:val="24"/>
          <w:szCs w:val="24"/>
        </w:rPr>
        <w:t>可在学校图书馆官网-资源-数据库-按学科分类（经济/商业/管理）页面也查收，或者直接打开：</w:t>
      </w:r>
      <w:r>
        <w:fldChar w:fldCharType="begin"/>
      </w:r>
      <w:r>
        <w:instrText xml:space="preserve"> HYPERLINK "http://www.epsnet.com.cn/" </w:instrText>
      </w:r>
      <w:r>
        <w:fldChar w:fldCharType="separate"/>
      </w:r>
      <w:r>
        <w:rPr>
          <w:rFonts w:ascii="Times New Roman" w:hAnsi="Times New Roman"/>
          <w:color w:val="auto"/>
          <w:kern w:val="2"/>
          <w:sz w:val="24"/>
          <w:szCs w:val="24"/>
        </w:rPr>
        <w:t>www.epsnet.com.cn</w:t>
      </w:r>
      <w:r>
        <w:rPr>
          <w:rFonts w:ascii="Times New Roman" w:hAnsi="Times New Roman"/>
          <w:color w:val="auto"/>
          <w:kern w:val="2"/>
          <w:sz w:val="24"/>
          <w:szCs w:val="24"/>
        </w:rPr>
        <w:fldChar w:fldCharType="end"/>
      </w:r>
      <w:r>
        <w:rPr>
          <w:rFonts w:hint="eastAsia" w:ascii="Times New Roman" w:hAnsi="Times New Roman"/>
          <w:color w:val="auto"/>
          <w:kern w:val="2"/>
          <w:sz w:val="24"/>
          <w:szCs w:val="24"/>
        </w:rPr>
        <w:t>），登录平台首页的中国微观经济数据查询系统（</w:t>
      </w:r>
      <w:r>
        <w:rPr>
          <w:rFonts w:ascii="Times New Roman" w:hAnsi="Times New Roman"/>
          <w:color w:val="auto"/>
          <w:kern w:val="2"/>
          <w:sz w:val="24"/>
          <w:szCs w:val="24"/>
        </w:rPr>
        <w:t>microdata.sozdata.com</w:t>
      </w:r>
      <w:r>
        <w:rPr>
          <w:rFonts w:hint="eastAsia" w:ascii="Times New Roman" w:hAnsi="Times New Roman"/>
          <w:color w:val="auto"/>
          <w:kern w:val="2"/>
          <w:sz w:val="24"/>
          <w:szCs w:val="24"/>
        </w:rPr>
        <w:t>），选择</w:t>
      </w:r>
      <w:r>
        <w:rPr>
          <w:rFonts w:ascii="Times New Roman" w:hAnsi="Times New Roman"/>
          <w:color w:val="auto"/>
          <w:kern w:val="2"/>
          <w:sz w:val="24"/>
          <w:szCs w:val="24"/>
        </w:rPr>
        <w:t>IP</w:t>
      </w:r>
      <w:r>
        <w:rPr>
          <w:rFonts w:hint="eastAsia" w:ascii="Times New Roman" w:hAnsi="Times New Roman"/>
          <w:color w:val="auto"/>
          <w:kern w:val="2"/>
          <w:sz w:val="24"/>
          <w:szCs w:val="24"/>
        </w:rPr>
        <w:t>登录选项，可直接进入到中国微观经济数据查询系统。（温馨提示：进入中国微观经济数据查询系统右上角身份认证，认证通过可享有最大数据下载权限，认证一次就可以。）</w:t>
      </w:r>
      <w:bookmarkStart w:id="12" w:name="_Toc520292933"/>
    </w:p>
    <w:p w14:paraId="7CA056E1">
      <w:pPr>
        <w:pStyle w:val="8"/>
        <w:shd w:val="clear" w:color="auto" w:fill="FFFFFF"/>
        <w:spacing w:before="0" w:beforeAutospacing="0" w:after="0" w:afterAutospacing="0" w:line="390" w:lineRule="atLeast"/>
        <w:rPr>
          <w:rFonts w:ascii="Times New Roman" w:hAnsi="Times New Roman"/>
          <w:color w:val="auto"/>
          <w:kern w:val="2"/>
          <w:sz w:val="24"/>
          <w:szCs w:val="24"/>
        </w:rPr>
      </w:pPr>
    </w:p>
    <w:p w14:paraId="55D2D65C">
      <w:pPr>
        <w:pStyle w:val="8"/>
        <w:shd w:val="clear" w:color="auto" w:fill="FFFFFF"/>
        <w:spacing w:before="0" w:beforeAutospacing="0" w:after="0" w:afterAutospacing="0" w:line="390" w:lineRule="atLeast"/>
        <w:rPr>
          <w:rFonts w:ascii="Times New Roman" w:hAnsi="Times New Roman" w:eastAsia="黑体"/>
          <w:b/>
          <w:bCs/>
          <w:color w:val="auto"/>
          <w:kern w:val="2"/>
          <w:sz w:val="28"/>
          <w:szCs w:val="32"/>
          <w:lang w:val="zh-CN" w:eastAsia="zh-CN"/>
        </w:rPr>
      </w:pPr>
      <w:r>
        <w:rPr>
          <w:rFonts w:hint="eastAsia" w:ascii="Times New Roman" w:hAnsi="Times New Roman" w:eastAsia="黑体"/>
          <w:b/>
          <w:bCs/>
          <w:color w:val="auto"/>
          <w:kern w:val="2"/>
          <w:sz w:val="28"/>
          <w:szCs w:val="32"/>
          <w:lang w:val="zh-CN" w:eastAsia="zh-CN"/>
        </w:rPr>
        <w:t>五．国研网数据库</w:t>
      </w:r>
      <w:bookmarkEnd w:id="12"/>
    </w:p>
    <w:p w14:paraId="4C8E61AA">
      <w:pPr>
        <w:pStyle w:val="3"/>
      </w:pPr>
      <w:bookmarkStart w:id="13" w:name="_Toc520292934"/>
      <w:r>
        <w:rPr>
          <w:rFonts w:hint="eastAsia"/>
        </w:rPr>
        <w:t>1</w:t>
      </w:r>
      <w:r>
        <w:t xml:space="preserve"> 数据库介绍</w:t>
      </w:r>
      <w:bookmarkEnd w:id="13"/>
    </w:p>
    <w:p w14:paraId="57A0407B">
      <w:pPr>
        <w:spacing w:line="360" w:lineRule="auto"/>
        <w:ind w:firstLine="480"/>
        <w:rPr>
          <w:sz w:val="24"/>
        </w:rPr>
      </w:pPr>
      <w:r>
        <w:rPr>
          <w:rFonts w:hint="eastAsia"/>
          <w:sz w:val="24"/>
        </w:rPr>
        <w:t>该数据库是由国务院发展研究中心主管、北京国研网信息有限公司承办的国务院发展研究中心信息网创建的，学校图书馆已采购了该数据库的基础模块。这次采购是在此基础上，结合经济学院的学科需求，新购置了以下五个模块。</w:t>
      </w:r>
    </w:p>
    <w:p w14:paraId="7F4173DF">
      <w:pPr>
        <w:spacing w:line="360" w:lineRule="auto"/>
        <w:ind w:firstLine="480"/>
        <w:rPr>
          <w:sz w:val="24"/>
        </w:rPr>
      </w:pPr>
      <w:r>
        <w:rPr>
          <w:rFonts w:hint="eastAsia"/>
          <w:sz w:val="24"/>
        </w:rPr>
        <w:t>1. “一带一路”战略支撑平台设有7大主栏目、5大辅助栏目，全面系统地整合了“一带一路”沿线沿路国家和地区最新政经形势、投资环境、投资指南、项目机会、贸易与投资合作情况、风险评估报告、丝路战略研究报告、政策法规等信息。</w:t>
      </w:r>
    </w:p>
    <w:p w14:paraId="02C46FBF">
      <w:pPr>
        <w:spacing w:line="360" w:lineRule="auto"/>
        <w:ind w:firstLine="480"/>
        <w:rPr>
          <w:sz w:val="24"/>
        </w:rPr>
      </w:pPr>
      <w:r>
        <w:rPr>
          <w:rFonts w:hint="eastAsia"/>
          <w:sz w:val="24"/>
        </w:rPr>
        <w:t>2.战略性新兴产业数据库实时跟踪行业发展脉络的重大事件和重要举措，全面、及时把握市场重大变化及热点问题，系统汇集权威机构、专家、学者关于战略性新兴产业的分析和洞见，广泛覆盖国外发展战略性新兴产业的先进做法，深入洞察行业发展趋势，科学解读战略性新兴产业产业各领域的重要政策，为政府部门、图情机构、科研院所、学术团体、企事业单位、机构投资者提供研究支持和决策分析依据。</w:t>
      </w:r>
    </w:p>
    <w:p w14:paraId="20F6E01A">
      <w:pPr>
        <w:spacing w:line="360" w:lineRule="auto"/>
        <w:ind w:firstLine="480"/>
        <w:rPr>
          <w:sz w:val="24"/>
        </w:rPr>
      </w:pPr>
      <w:r>
        <w:rPr>
          <w:rFonts w:hint="eastAsia"/>
          <w:sz w:val="24"/>
        </w:rPr>
        <w:t>3.《国际贸易研究与决策支持系统》以权威的统计数据、丰富的参考文献为基础，包含统计数据和参考文献两大部分。其中，统计数据库的查询是以多维、立体的检索方式提供中国、美国、日本等国家的货物贸易和服务贸易数据；参考文献包含了国内外对该领域的最新研究动态、政策法规等。</w:t>
      </w:r>
    </w:p>
    <w:p w14:paraId="4185074D">
      <w:pPr>
        <w:spacing w:line="360" w:lineRule="auto"/>
        <w:ind w:firstLine="480"/>
        <w:rPr>
          <w:sz w:val="24"/>
        </w:rPr>
      </w:pPr>
      <w:r>
        <w:rPr>
          <w:rFonts w:hint="eastAsia"/>
          <w:sz w:val="24"/>
        </w:rPr>
        <w:t>4.《经济•管理案例库》以经济现象、中外机构和企业管理实践为研究对象，探索提供管理案例研究、最新管理理论、案例教学理论、方法与应用等研究成果，并辅之以管理和研究方面的实用资源，能够为各大高校经济管理类院系提供高水准、专业化的案例分析研究资源，从而为高校教师的案例教学、软课题研究，以及学生的学习提供帮助。</w:t>
      </w:r>
    </w:p>
    <w:p w14:paraId="260E16D7">
      <w:pPr>
        <w:spacing w:line="360" w:lineRule="auto"/>
        <w:ind w:firstLine="480"/>
        <w:rPr>
          <w:sz w:val="24"/>
        </w:rPr>
      </w:pPr>
      <w:r>
        <w:rPr>
          <w:rFonts w:hint="eastAsia"/>
          <w:sz w:val="24"/>
        </w:rPr>
        <w:t>5. 电子商务数据库力求通过动态跟踪电子商务产业有关的新闻动态、研究报告、统计数据、政策法规等信息，全方位、多视角、深层次地记录全国以及各地电子商务产业发展态势、政策举措，及时、全面、系统地反映专家学者对于全国以及各地电子商务产业发展的分析判断、发展建议，深入研究和解读电子商务领域内出现的重大事件、热点、难点、焦点问题，为用户把握政策导向、了解产业发展态势、洞悉专家观点提供强有力的信息支持。该数据库是有关政府管理部门、企事业单位和投资机构强有力的战略决策支持工具，也是学术科研机构和电子商务产业研究人员的重要参考资料库。</w:t>
      </w:r>
    </w:p>
    <w:p w14:paraId="2786E3D3">
      <w:pPr>
        <w:pStyle w:val="3"/>
      </w:pPr>
      <w:bookmarkStart w:id="14" w:name="_Toc520292935"/>
      <w:r>
        <w:rPr>
          <w:rFonts w:hint="eastAsia"/>
        </w:rPr>
        <w:t>2</w:t>
      </w:r>
      <w:r>
        <w:t xml:space="preserve"> 使用说明</w:t>
      </w:r>
      <w:bookmarkEnd w:id="14"/>
    </w:p>
    <w:p w14:paraId="5C70CD55">
      <w:pPr>
        <w:spacing w:line="360" w:lineRule="auto"/>
        <w:ind w:firstLine="480"/>
        <w:rPr>
          <w:sz w:val="24"/>
        </w:rPr>
      </w:pPr>
      <w:r>
        <w:rPr>
          <w:rFonts w:hint="eastAsia"/>
          <w:sz w:val="24"/>
          <w:lang w:val="en-US" w:eastAsia="zh-CN"/>
        </w:rPr>
        <w:t>校园网范围内使用。</w:t>
      </w:r>
      <w:r>
        <w:rPr>
          <w:rFonts w:hint="eastAsia"/>
          <w:sz w:val="24"/>
        </w:rPr>
        <w:t>可在学校图书馆官网-资源-数据库-按学科分类（经济/商业/管理）页面也查收，或者直接打开：</w:t>
      </w:r>
      <w:r>
        <w:fldChar w:fldCharType="begin"/>
      </w:r>
      <w:r>
        <w:instrText xml:space="preserve"> HYPERLINK "http://g.drcnet.com.cn/u/723215/index.aspx" </w:instrText>
      </w:r>
      <w:r>
        <w:fldChar w:fldCharType="separate"/>
      </w:r>
      <w:r>
        <w:rPr>
          <w:rStyle w:val="13"/>
          <w:sz w:val="24"/>
        </w:rPr>
        <w:t>http://g.drcnet.com.cn/u/723215/index.aspx</w:t>
      </w:r>
      <w:r>
        <w:rPr>
          <w:rStyle w:val="13"/>
          <w:sz w:val="24"/>
        </w:rPr>
        <w:fldChar w:fldCharType="end"/>
      </w:r>
    </w:p>
    <w:p w14:paraId="30C62A82">
      <w:pPr>
        <w:spacing w:line="360" w:lineRule="auto"/>
        <w:ind w:firstLine="480"/>
        <w:rPr>
          <w:rFonts w:ascii="宋体" w:hAnsi="宋体"/>
          <w:color w:val="000000"/>
          <w:sz w:val="24"/>
        </w:rPr>
      </w:pPr>
      <w:r>
        <w:rPr>
          <w:sz w:val="24"/>
        </w:rPr>
        <w:t>注</w:t>
      </w:r>
      <w:r>
        <w:rPr>
          <w:rFonts w:hint="eastAsia"/>
          <w:sz w:val="24"/>
        </w:rPr>
        <w:t>：</w:t>
      </w:r>
      <w:r>
        <w:rPr>
          <w:rFonts w:hint="eastAsia" w:ascii="宋体" w:hAnsi="宋体"/>
          <w:color w:val="000000"/>
          <w:sz w:val="24"/>
        </w:rPr>
        <w:t>限校园网范围内访问。经济学院教师需要外网访问的，可与实验中心联系0</w:t>
      </w:r>
      <w:r>
        <w:rPr>
          <w:rFonts w:ascii="宋体" w:hAnsi="宋体"/>
          <w:color w:val="000000"/>
          <w:sz w:val="24"/>
        </w:rPr>
        <w:t>22-23509074</w:t>
      </w:r>
      <w:r>
        <w:rPr>
          <w:rFonts w:hint="eastAsia" w:ascii="宋体" w:hAnsi="宋体"/>
          <w:color w:val="000000"/>
          <w:sz w:val="24"/>
        </w:rPr>
        <w:t>。</w:t>
      </w:r>
    </w:p>
    <w:p w14:paraId="788A407E">
      <w:pPr>
        <w:pStyle w:val="2"/>
        <w:rPr>
          <w:lang w:eastAsia="zh-CN"/>
        </w:rPr>
      </w:pPr>
      <w:bookmarkStart w:id="15" w:name="_Toc520292936"/>
      <w:r>
        <w:rPr>
          <w:rFonts w:hint="eastAsia"/>
          <w:lang w:eastAsia="zh-CN"/>
        </w:rPr>
        <w:t>六．</w:t>
      </w:r>
      <w:r>
        <w:rPr>
          <w:rFonts w:hint="eastAsia"/>
        </w:rPr>
        <w:t>中国</w:t>
      </w:r>
      <w:bookmarkEnd w:id="15"/>
      <w:r>
        <w:rPr>
          <w:rFonts w:hint="eastAsia"/>
          <w:lang w:eastAsia="zh-CN"/>
        </w:rPr>
        <w:t>研究数据服务平台</w:t>
      </w:r>
    </w:p>
    <w:p w14:paraId="33316D51">
      <w:pPr>
        <w:pStyle w:val="3"/>
      </w:pPr>
      <w:bookmarkStart w:id="16" w:name="_Toc520292937"/>
      <w:r>
        <w:rPr>
          <w:rFonts w:hint="eastAsia"/>
        </w:rPr>
        <w:t>1</w:t>
      </w:r>
      <w:r>
        <w:t xml:space="preserve"> 数据库介绍</w:t>
      </w:r>
      <w:bookmarkEnd w:id="16"/>
    </w:p>
    <w:p w14:paraId="33776B05">
      <w:pPr>
        <w:spacing w:line="360" w:lineRule="auto"/>
        <w:ind w:firstLine="480"/>
        <w:rPr>
          <w:sz w:val="24"/>
        </w:rPr>
      </w:pPr>
      <w:r>
        <w:rPr>
          <w:rFonts w:hint="eastAsia"/>
          <w:sz w:val="24"/>
        </w:rPr>
        <w:t>中国研究数据服务平台（Chinese Research Data Services Platform, CNRDS）是一个开放式、平台化的中国经济、金融与商学研究的综合数据平台。CNRDS借鉴 WRDS等国外一流商学院打造的数据平台，构建中国特色的研究数据资源。它基于国内外学者在研究中国问题过程中的数据需求和数据质量要求，推出了研究人员亟需的一系列特色数据库。这些特色数据库涉及的主题丰富多元，紧跟国内外中国问题研究热点和前沿，可满足不同研究领域的独特数据需求。CNRDS 特色数据库是参照国际标准并结合中国数据独特结构而建立的。每个特色数据库从数据采集、数据整理到数据呈现均有该领域知名的国内外教授和学者参与，是专业性的特色学术数据库。</w:t>
      </w:r>
    </w:p>
    <w:p w14:paraId="2D20153F">
      <w:pPr>
        <w:pStyle w:val="18"/>
        <w:ind w:firstLine="0" w:firstLineChars="0"/>
        <w:jc w:val="center"/>
        <w:rPr>
          <w:rFonts w:ascii="宋体" w:hAnsi="宋体"/>
          <w:b/>
          <w:szCs w:val="21"/>
        </w:rPr>
      </w:pPr>
      <w:r>
        <w:rPr>
          <w:rFonts w:hint="eastAsia" w:ascii="宋体" w:hAnsi="宋体"/>
          <w:b/>
          <w:szCs w:val="21"/>
        </w:rPr>
        <w:t>特色库目录</w:t>
      </w:r>
    </w:p>
    <w:tbl>
      <w:tblPr>
        <w:tblStyle w:val="9"/>
        <w:tblW w:w="7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5516"/>
      </w:tblGrid>
      <w:tr w14:paraId="7B976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4F81BD" w:themeFill="accent1"/>
            <w:vAlign w:val="center"/>
          </w:tcPr>
          <w:p w14:paraId="306FB67C">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5516" w:type="dxa"/>
            <w:shd w:val="clear" w:color="auto" w:fill="4F81BD" w:themeFill="accent1"/>
            <w:vAlign w:val="center"/>
          </w:tcPr>
          <w:p w14:paraId="4525C716">
            <w:pPr>
              <w:widowControl/>
              <w:jc w:val="center"/>
              <w:rPr>
                <w:rFonts w:ascii="宋体" w:hAnsi="宋体" w:cs="宋体"/>
                <w:b/>
                <w:bCs/>
                <w:color w:val="000000"/>
                <w:kern w:val="0"/>
                <w:szCs w:val="21"/>
              </w:rPr>
            </w:pPr>
            <w:r>
              <w:rPr>
                <w:rFonts w:hint="eastAsia" w:ascii="宋体" w:hAnsi="宋体" w:cs="宋体"/>
                <w:b/>
                <w:bCs/>
                <w:color w:val="000000"/>
                <w:kern w:val="0"/>
                <w:szCs w:val="21"/>
              </w:rPr>
              <w:t>数据库名称</w:t>
            </w:r>
          </w:p>
        </w:tc>
      </w:tr>
      <w:tr w14:paraId="45BE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082474F">
            <w:pPr>
              <w:widowControl/>
              <w:jc w:val="center"/>
              <w:rPr>
                <w:rFonts w:ascii="宋体" w:hAnsi="宋体"/>
                <w:kern w:val="0"/>
                <w:szCs w:val="21"/>
              </w:rPr>
            </w:pPr>
            <w:r>
              <w:rPr>
                <w:rFonts w:ascii="宋体" w:hAnsi="宋体"/>
                <w:kern w:val="0"/>
                <w:szCs w:val="21"/>
              </w:rPr>
              <w:t>1</w:t>
            </w:r>
          </w:p>
        </w:tc>
        <w:tc>
          <w:tcPr>
            <w:tcW w:w="5516" w:type="dxa"/>
            <w:shd w:val="clear" w:color="auto" w:fill="auto"/>
            <w:vAlign w:val="center"/>
          </w:tcPr>
          <w:p w14:paraId="154E58AB">
            <w:pPr>
              <w:widowControl/>
              <w:jc w:val="left"/>
              <w:rPr>
                <w:rFonts w:ascii="宋体" w:hAnsi="宋体" w:cs="宋体"/>
                <w:kern w:val="0"/>
                <w:szCs w:val="21"/>
              </w:rPr>
            </w:pPr>
            <w:r>
              <w:rPr>
                <w:rFonts w:hint="eastAsia" w:ascii="宋体" w:hAnsi="宋体" w:cs="宋体"/>
                <w:kern w:val="0"/>
                <w:szCs w:val="21"/>
              </w:rPr>
              <w:t>中国创新专利研究数据库-CIRD</w:t>
            </w:r>
          </w:p>
        </w:tc>
      </w:tr>
      <w:tr w14:paraId="0AE99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8A5ADEE">
            <w:pPr>
              <w:widowControl/>
              <w:jc w:val="center"/>
              <w:rPr>
                <w:rFonts w:ascii="宋体" w:hAnsi="宋体"/>
                <w:kern w:val="0"/>
                <w:szCs w:val="21"/>
              </w:rPr>
            </w:pPr>
            <w:r>
              <w:rPr>
                <w:rFonts w:ascii="宋体" w:hAnsi="宋体"/>
                <w:kern w:val="0"/>
                <w:szCs w:val="21"/>
              </w:rPr>
              <w:t>2</w:t>
            </w:r>
          </w:p>
        </w:tc>
        <w:tc>
          <w:tcPr>
            <w:tcW w:w="5516" w:type="dxa"/>
            <w:shd w:val="clear" w:color="auto" w:fill="auto"/>
            <w:vAlign w:val="center"/>
          </w:tcPr>
          <w:p w14:paraId="4C3D2B23">
            <w:pPr>
              <w:widowControl/>
              <w:jc w:val="left"/>
              <w:rPr>
                <w:rFonts w:ascii="宋体" w:hAnsi="宋体" w:cs="宋体"/>
                <w:kern w:val="0"/>
                <w:szCs w:val="21"/>
              </w:rPr>
            </w:pPr>
            <w:r>
              <w:rPr>
                <w:rFonts w:hint="eastAsia" w:ascii="宋体" w:hAnsi="宋体" w:cs="宋体"/>
                <w:kern w:val="0"/>
                <w:szCs w:val="21"/>
              </w:rPr>
              <w:t>企业ESG数据库-CESG</w:t>
            </w:r>
          </w:p>
        </w:tc>
      </w:tr>
      <w:tr w14:paraId="21AD3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5B670F9">
            <w:pPr>
              <w:widowControl/>
              <w:jc w:val="center"/>
              <w:rPr>
                <w:rFonts w:ascii="宋体" w:hAnsi="宋体"/>
                <w:kern w:val="0"/>
                <w:szCs w:val="21"/>
              </w:rPr>
            </w:pPr>
            <w:r>
              <w:rPr>
                <w:rFonts w:ascii="宋体" w:hAnsi="宋体"/>
                <w:kern w:val="0"/>
                <w:szCs w:val="21"/>
              </w:rPr>
              <w:t>3</w:t>
            </w:r>
          </w:p>
        </w:tc>
        <w:tc>
          <w:tcPr>
            <w:tcW w:w="5516" w:type="dxa"/>
            <w:shd w:val="clear" w:color="auto" w:fill="auto"/>
            <w:vAlign w:val="center"/>
          </w:tcPr>
          <w:p w14:paraId="152E90B5">
            <w:pPr>
              <w:widowControl/>
              <w:jc w:val="left"/>
              <w:rPr>
                <w:rFonts w:ascii="宋体" w:hAnsi="宋体" w:cs="宋体"/>
                <w:kern w:val="0"/>
                <w:szCs w:val="21"/>
              </w:rPr>
            </w:pPr>
            <w:r>
              <w:rPr>
                <w:rFonts w:hint="eastAsia" w:ascii="宋体" w:hAnsi="宋体" w:cs="宋体"/>
                <w:kern w:val="0"/>
                <w:szCs w:val="21"/>
              </w:rPr>
              <w:t>中国家族企业研究数据库-CFFD</w:t>
            </w:r>
          </w:p>
        </w:tc>
      </w:tr>
      <w:tr w14:paraId="592D2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47DB992">
            <w:pPr>
              <w:widowControl/>
              <w:jc w:val="center"/>
              <w:rPr>
                <w:rFonts w:ascii="宋体" w:hAnsi="宋体"/>
                <w:kern w:val="0"/>
                <w:szCs w:val="21"/>
              </w:rPr>
            </w:pPr>
            <w:r>
              <w:rPr>
                <w:rFonts w:ascii="宋体" w:hAnsi="宋体"/>
                <w:kern w:val="0"/>
                <w:szCs w:val="21"/>
              </w:rPr>
              <w:t>4</w:t>
            </w:r>
          </w:p>
        </w:tc>
        <w:tc>
          <w:tcPr>
            <w:tcW w:w="5516" w:type="dxa"/>
            <w:shd w:val="clear" w:color="auto" w:fill="auto"/>
            <w:vAlign w:val="center"/>
          </w:tcPr>
          <w:p w14:paraId="151B83AA">
            <w:pPr>
              <w:widowControl/>
              <w:jc w:val="left"/>
              <w:rPr>
                <w:rFonts w:ascii="宋体" w:hAnsi="宋体" w:cs="宋体"/>
                <w:kern w:val="0"/>
                <w:szCs w:val="21"/>
              </w:rPr>
            </w:pPr>
            <w:r>
              <w:rPr>
                <w:rFonts w:hint="eastAsia" w:ascii="宋体" w:hAnsi="宋体" w:cs="宋体"/>
                <w:kern w:val="0"/>
                <w:szCs w:val="21"/>
              </w:rPr>
              <w:t>公司并购重组数据库-CMAD</w:t>
            </w:r>
          </w:p>
        </w:tc>
      </w:tr>
      <w:tr w14:paraId="23CCF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BE897EA">
            <w:pPr>
              <w:widowControl/>
              <w:jc w:val="center"/>
              <w:rPr>
                <w:rFonts w:ascii="宋体" w:hAnsi="宋体"/>
                <w:kern w:val="0"/>
                <w:szCs w:val="21"/>
              </w:rPr>
            </w:pPr>
            <w:r>
              <w:rPr>
                <w:rFonts w:ascii="宋体" w:hAnsi="宋体"/>
                <w:kern w:val="0"/>
                <w:szCs w:val="21"/>
              </w:rPr>
              <w:t>5</w:t>
            </w:r>
          </w:p>
        </w:tc>
        <w:tc>
          <w:tcPr>
            <w:tcW w:w="5516" w:type="dxa"/>
            <w:shd w:val="clear" w:color="auto" w:fill="auto"/>
            <w:vAlign w:val="center"/>
          </w:tcPr>
          <w:p w14:paraId="1FF4D882">
            <w:pPr>
              <w:widowControl/>
              <w:jc w:val="left"/>
              <w:rPr>
                <w:rFonts w:ascii="宋体" w:hAnsi="宋体" w:cs="宋体"/>
                <w:kern w:val="0"/>
                <w:szCs w:val="21"/>
              </w:rPr>
            </w:pPr>
            <w:r>
              <w:rPr>
                <w:rFonts w:hint="eastAsia" w:ascii="宋体" w:hAnsi="宋体" w:cs="宋体"/>
                <w:kern w:val="0"/>
                <w:szCs w:val="21"/>
              </w:rPr>
              <w:t>中国上市公司供应链研究数据库-SCRD</w:t>
            </w:r>
          </w:p>
        </w:tc>
      </w:tr>
      <w:tr w14:paraId="143F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3F74C073">
            <w:pPr>
              <w:widowControl/>
              <w:jc w:val="center"/>
              <w:rPr>
                <w:rFonts w:ascii="宋体" w:hAnsi="宋体"/>
                <w:kern w:val="0"/>
                <w:szCs w:val="21"/>
              </w:rPr>
            </w:pPr>
            <w:r>
              <w:rPr>
                <w:rFonts w:ascii="宋体" w:hAnsi="宋体"/>
                <w:kern w:val="0"/>
                <w:szCs w:val="21"/>
              </w:rPr>
              <w:t>6</w:t>
            </w:r>
          </w:p>
        </w:tc>
        <w:tc>
          <w:tcPr>
            <w:tcW w:w="5516" w:type="dxa"/>
            <w:shd w:val="clear" w:color="auto" w:fill="auto"/>
            <w:vAlign w:val="center"/>
          </w:tcPr>
          <w:p w14:paraId="3F874422">
            <w:pPr>
              <w:widowControl/>
              <w:jc w:val="left"/>
              <w:rPr>
                <w:rFonts w:ascii="宋体" w:hAnsi="宋体" w:cs="宋体"/>
                <w:kern w:val="0"/>
                <w:szCs w:val="21"/>
              </w:rPr>
            </w:pPr>
            <w:r>
              <w:rPr>
                <w:rFonts w:hint="eastAsia" w:ascii="宋体" w:hAnsi="宋体" w:cs="宋体"/>
                <w:kern w:val="0"/>
                <w:szCs w:val="21"/>
              </w:rPr>
              <w:t>海外上市研究数据库-COLD</w:t>
            </w:r>
          </w:p>
        </w:tc>
      </w:tr>
      <w:tr w14:paraId="1FFF5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6963A09">
            <w:pPr>
              <w:widowControl/>
              <w:jc w:val="center"/>
              <w:rPr>
                <w:rFonts w:ascii="宋体" w:hAnsi="宋体"/>
                <w:kern w:val="0"/>
                <w:szCs w:val="21"/>
              </w:rPr>
            </w:pPr>
            <w:r>
              <w:rPr>
                <w:rFonts w:ascii="宋体" w:hAnsi="宋体"/>
                <w:kern w:val="0"/>
                <w:szCs w:val="21"/>
              </w:rPr>
              <w:t>7</w:t>
            </w:r>
          </w:p>
        </w:tc>
        <w:tc>
          <w:tcPr>
            <w:tcW w:w="5516" w:type="dxa"/>
            <w:shd w:val="clear" w:color="auto" w:fill="auto"/>
            <w:vAlign w:val="center"/>
          </w:tcPr>
          <w:p w14:paraId="74773B1A">
            <w:pPr>
              <w:widowControl/>
              <w:jc w:val="left"/>
              <w:rPr>
                <w:rFonts w:ascii="宋体" w:hAnsi="宋体" w:cs="宋体"/>
                <w:kern w:val="0"/>
                <w:szCs w:val="21"/>
              </w:rPr>
            </w:pPr>
            <w:r>
              <w:rPr>
                <w:rFonts w:hint="eastAsia" w:ascii="宋体" w:hAnsi="宋体" w:cs="宋体"/>
                <w:kern w:val="0"/>
                <w:szCs w:val="21"/>
              </w:rPr>
              <w:t>上市公司专利引用数据库-CITE</w:t>
            </w:r>
          </w:p>
        </w:tc>
      </w:tr>
      <w:tr w14:paraId="2387B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73D573D">
            <w:pPr>
              <w:widowControl/>
              <w:jc w:val="center"/>
              <w:rPr>
                <w:rFonts w:ascii="宋体" w:hAnsi="宋体"/>
                <w:kern w:val="0"/>
                <w:szCs w:val="21"/>
              </w:rPr>
            </w:pPr>
            <w:r>
              <w:rPr>
                <w:rFonts w:ascii="宋体" w:hAnsi="宋体"/>
                <w:kern w:val="0"/>
                <w:szCs w:val="21"/>
              </w:rPr>
              <w:t>8</w:t>
            </w:r>
          </w:p>
        </w:tc>
        <w:tc>
          <w:tcPr>
            <w:tcW w:w="5516" w:type="dxa"/>
            <w:shd w:val="clear" w:color="auto" w:fill="auto"/>
            <w:vAlign w:val="center"/>
          </w:tcPr>
          <w:p w14:paraId="50C739D1">
            <w:pPr>
              <w:widowControl/>
              <w:jc w:val="left"/>
              <w:rPr>
                <w:rFonts w:ascii="宋体" w:hAnsi="宋体" w:cs="宋体"/>
                <w:kern w:val="0"/>
                <w:szCs w:val="21"/>
              </w:rPr>
            </w:pPr>
            <w:r>
              <w:rPr>
                <w:rFonts w:hint="eastAsia" w:ascii="宋体" w:hAnsi="宋体" w:cs="宋体"/>
                <w:kern w:val="0"/>
                <w:szCs w:val="21"/>
              </w:rPr>
              <w:t>网络搜索指数数据库-WSVI</w:t>
            </w:r>
          </w:p>
        </w:tc>
      </w:tr>
      <w:tr w14:paraId="295F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EF3A281">
            <w:pPr>
              <w:widowControl/>
              <w:jc w:val="center"/>
              <w:rPr>
                <w:rFonts w:ascii="宋体" w:hAnsi="宋体"/>
                <w:kern w:val="0"/>
                <w:szCs w:val="21"/>
              </w:rPr>
            </w:pPr>
            <w:r>
              <w:rPr>
                <w:rFonts w:ascii="宋体" w:hAnsi="宋体"/>
                <w:kern w:val="0"/>
                <w:szCs w:val="21"/>
              </w:rPr>
              <w:t>9</w:t>
            </w:r>
          </w:p>
        </w:tc>
        <w:tc>
          <w:tcPr>
            <w:tcW w:w="5516" w:type="dxa"/>
            <w:shd w:val="clear" w:color="auto" w:fill="auto"/>
            <w:vAlign w:val="center"/>
          </w:tcPr>
          <w:p w14:paraId="69DA5980">
            <w:pPr>
              <w:widowControl/>
              <w:jc w:val="left"/>
              <w:rPr>
                <w:rFonts w:ascii="宋体" w:hAnsi="宋体" w:cs="宋体"/>
                <w:kern w:val="0"/>
                <w:szCs w:val="21"/>
              </w:rPr>
            </w:pPr>
            <w:r>
              <w:rPr>
                <w:rFonts w:hint="eastAsia" w:ascii="宋体" w:hAnsi="宋体" w:cs="宋体"/>
                <w:kern w:val="0"/>
                <w:szCs w:val="21"/>
              </w:rPr>
              <w:t>中国上市公司社交媒体数据库-CSMD</w:t>
            </w:r>
          </w:p>
        </w:tc>
      </w:tr>
      <w:tr w14:paraId="40BF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F0EE192">
            <w:pPr>
              <w:widowControl/>
              <w:jc w:val="center"/>
              <w:rPr>
                <w:rFonts w:ascii="宋体" w:hAnsi="宋体"/>
                <w:kern w:val="0"/>
                <w:szCs w:val="21"/>
              </w:rPr>
            </w:pPr>
            <w:r>
              <w:rPr>
                <w:rFonts w:ascii="宋体" w:hAnsi="宋体"/>
                <w:kern w:val="0"/>
                <w:szCs w:val="21"/>
              </w:rPr>
              <w:t>10</w:t>
            </w:r>
          </w:p>
        </w:tc>
        <w:tc>
          <w:tcPr>
            <w:tcW w:w="5516" w:type="dxa"/>
            <w:shd w:val="clear" w:color="auto" w:fill="auto"/>
            <w:vAlign w:val="center"/>
          </w:tcPr>
          <w:p w14:paraId="73213BD7">
            <w:pPr>
              <w:widowControl/>
              <w:jc w:val="left"/>
              <w:rPr>
                <w:rFonts w:ascii="宋体" w:hAnsi="宋体" w:cs="宋体"/>
                <w:kern w:val="0"/>
                <w:szCs w:val="21"/>
              </w:rPr>
            </w:pPr>
            <w:r>
              <w:rPr>
                <w:rFonts w:hint="eastAsia" w:ascii="宋体" w:hAnsi="宋体" w:cs="宋体"/>
                <w:kern w:val="0"/>
                <w:szCs w:val="21"/>
              </w:rPr>
              <w:t>银行研究数据库-CBRD</w:t>
            </w:r>
          </w:p>
        </w:tc>
      </w:tr>
      <w:tr w14:paraId="53D2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3E4B0CC">
            <w:pPr>
              <w:widowControl/>
              <w:jc w:val="center"/>
              <w:rPr>
                <w:rFonts w:ascii="宋体" w:hAnsi="宋体"/>
                <w:kern w:val="0"/>
                <w:szCs w:val="21"/>
              </w:rPr>
            </w:pPr>
            <w:r>
              <w:rPr>
                <w:rFonts w:ascii="宋体" w:hAnsi="宋体"/>
                <w:kern w:val="0"/>
                <w:szCs w:val="21"/>
              </w:rPr>
              <w:t>11</w:t>
            </w:r>
          </w:p>
        </w:tc>
        <w:tc>
          <w:tcPr>
            <w:tcW w:w="5516" w:type="dxa"/>
            <w:shd w:val="clear" w:color="auto" w:fill="auto"/>
            <w:vAlign w:val="center"/>
          </w:tcPr>
          <w:p w14:paraId="5ADF07C5">
            <w:pPr>
              <w:widowControl/>
              <w:jc w:val="left"/>
              <w:rPr>
                <w:rFonts w:ascii="宋体" w:hAnsi="宋体" w:cs="宋体"/>
                <w:kern w:val="0"/>
                <w:szCs w:val="21"/>
              </w:rPr>
            </w:pPr>
            <w:r>
              <w:rPr>
                <w:rFonts w:hint="eastAsia" w:ascii="宋体" w:hAnsi="宋体" w:cs="宋体"/>
                <w:kern w:val="0"/>
                <w:szCs w:val="21"/>
              </w:rPr>
              <w:t>中国商业银行分支机构数据库-CCBD</w:t>
            </w:r>
          </w:p>
        </w:tc>
      </w:tr>
      <w:tr w14:paraId="12B6D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6C95D5C">
            <w:pPr>
              <w:widowControl/>
              <w:jc w:val="center"/>
              <w:rPr>
                <w:rFonts w:ascii="宋体" w:hAnsi="宋体"/>
                <w:kern w:val="0"/>
                <w:szCs w:val="21"/>
              </w:rPr>
            </w:pPr>
            <w:r>
              <w:rPr>
                <w:rFonts w:ascii="宋体" w:hAnsi="宋体"/>
                <w:kern w:val="0"/>
                <w:szCs w:val="21"/>
              </w:rPr>
              <w:t>12</w:t>
            </w:r>
          </w:p>
        </w:tc>
        <w:tc>
          <w:tcPr>
            <w:tcW w:w="5516" w:type="dxa"/>
            <w:shd w:val="clear" w:color="auto" w:fill="auto"/>
            <w:vAlign w:val="center"/>
          </w:tcPr>
          <w:p w14:paraId="4A65EF29">
            <w:pPr>
              <w:widowControl/>
              <w:jc w:val="left"/>
              <w:rPr>
                <w:rFonts w:ascii="宋体" w:hAnsi="宋体" w:cs="宋体"/>
                <w:kern w:val="0"/>
                <w:szCs w:val="21"/>
              </w:rPr>
            </w:pPr>
            <w:r>
              <w:rPr>
                <w:rFonts w:hint="eastAsia" w:ascii="宋体" w:hAnsi="宋体" w:cs="宋体"/>
                <w:kern w:val="0"/>
                <w:szCs w:val="21"/>
              </w:rPr>
              <w:t>基金公司研究数据库-FCRD</w:t>
            </w:r>
          </w:p>
        </w:tc>
      </w:tr>
      <w:tr w14:paraId="6477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B0D423B">
            <w:pPr>
              <w:widowControl/>
              <w:jc w:val="center"/>
              <w:rPr>
                <w:rFonts w:ascii="宋体" w:hAnsi="宋体"/>
                <w:kern w:val="0"/>
                <w:szCs w:val="21"/>
              </w:rPr>
            </w:pPr>
            <w:r>
              <w:rPr>
                <w:rFonts w:ascii="宋体" w:hAnsi="宋体"/>
                <w:kern w:val="0"/>
                <w:szCs w:val="21"/>
              </w:rPr>
              <w:t>13</w:t>
            </w:r>
          </w:p>
        </w:tc>
        <w:tc>
          <w:tcPr>
            <w:tcW w:w="5516" w:type="dxa"/>
            <w:shd w:val="clear" w:color="auto" w:fill="auto"/>
            <w:vAlign w:val="center"/>
          </w:tcPr>
          <w:p w14:paraId="2BEFD2A0">
            <w:pPr>
              <w:widowControl/>
              <w:jc w:val="left"/>
              <w:rPr>
                <w:rFonts w:ascii="宋体" w:hAnsi="宋体" w:cs="宋体"/>
                <w:kern w:val="0"/>
                <w:szCs w:val="21"/>
              </w:rPr>
            </w:pPr>
            <w:r>
              <w:rPr>
                <w:rFonts w:hint="eastAsia" w:ascii="宋体" w:hAnsi="宋体" w:cs="宋体"/>
                <w:kern w:val="0"/>
                <w:szCs w:val="21"/>
              </w:rPr>
              <w:t>券商投行数据库-CIBD</w:t>
            </w:r>
          </w:p>
        </w:tc>
      </w:tr>
      <w:tr w14:paraId="08E7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70A5E05">
            <w:pPr>
              <w:widowControl/>
              <w:jc w:val="center"/>
              <w:rPr>
                <w:rFonts w:ascii="宋体" w:hAnsi="宋体"/>
                <w:kern w:val="0"/>
                <w:szCs w:val="21"/>
              </w:rPr>
            </w:pPr>
            <w:r>
              <w:rPr>
                <w:rFonts w:ascii="宋体" w:hAnsi="宋体"/>
                <w:kern w:val="0"/>
                <w:szCs w:val="21"/>
              </w:rPr>
              <w:t>14</w:t>
            </w:r>
          </w:p>
        </w:tc>
        <w:tc>
          <w:tcPr>
            <w:tcW w:w="5516" w:type="dxa"/>
            <w:shd w:val="clear" w:color="auto" w:fill="auto"/>
            <w:vAlign w:val="center"/>
          </w:tcPr>
          <w:p w14:paraId="7B9921E0">
            <w:pPr>
              <w:widowControl/>
              <w:jc w:val="left"/>
              <w:rPr>
                <w:rFonts w:ascii="宋体" w:hAnsi="宋体" w:cs="宋体"/>
                <w:kern w:val="0"/>
                <w:szCs w:val="21"/>
              </w:rPr>
            </w:pPr>
            <w:r>
              <w:rPr>
                <w:rFonts w:hint="eastAsia" w:ascii="宋体" w:hAnsi="宋体" w:cs="宋体"/>
                <w:kern w:val="0"/>
                <w:szCs w:val="21"/>
              </w:rPr>
              <w:t>保险机构研究数据库-IIRD</w:t>
            </w:r>
          </w:p>
        </w:tc>
      </w:tr>
      <w:tr w14:paraId="45E0E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586419C">
            <w:pPr>
              <w:widowControl/>
              <w:jc w:val="center"/>
              <w:rPr>
                <w:rFonts w:ascii="宋体" w:hAnsi="宋体"/>
                <w:kern w:val="0"/>
                <w:szCs w:val="21"/>
              </w:rPr>
            </w:pPr>
            <w:r>
              <w:rPr>
                <w:rFonts w:ascii="宋体" w:hAnsi="宋体"/>
                <w:kern w:val="0"/>
                <w:szCs w:val="21"/>
              </w:rPr>
              <w:t>15</w:t>
            </w:r>
          </w:p>
        </w:tc>
        <w:tc>
          <w:tcPr>
            <w:tcW w:w="5516" w:type="dxa"/>
            <w:shd w:val="clear" w:color="auto" w:fill="auto"/>
            <w:vAlign w:val="center"/>
          </w:tcPr>
          <w:p w14:paraId="1E5398DA">
            <w:pPr>
              <w:widowControl/>
              <w:jc w:val="left"/>
              <w:rPr>
                <w:rFonts w:ascii="宋体" w:hAnsi="宋体" w:cs="宋体"/>
                <w:kern w:val="0"/>
                <w:szCs w:val="21"/>
              </w:rPr>
            </w:pPr>
            <w:r>
              <w:rPr>
                <w:rFonts w:hint="eastAsia" w:ascii="宋体" w:hAnsi="宋体" w:cs="宋体"/>
                <w:kern w:val="0"/>
                <w:szCs w:val="21"/>
              </w:rPr>
              <w:t>信托机构研究数据库-CTID</w:t>
            </w:r>
          </w:p>
        </w:tc>
      </w:tr>
      <w:tr w14:paraId="22554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6084BFC">
            <w:pPr>
              <w:widowControl/>
              <w:jc w:val="center"/>
              <w:rPr>
                <w:rFonts w:ascii="宋体" w:hAnsi="宋体"/>
                <w:kern w:val="0"/>
                <w:szCs w:val="21"/>
              </w:rPr>
            </w:pPr>
            <w:r>
              <w:rPr>
                <w:rFonts w:ascii="宋体" w:hAnsi="宋体"/>
                <w:kern w:val="0"/>
                <w:szCs w:val="21"/>
              </w:rPr>
              <w:t>16</w:t>
            </w:r>
          </w:p>
        </w:tc>
        <w:tc>
          <w:tcPr>
            <w:tcW w:w="5516" w:type="dxa"/>
            <w:shd w:val="clear" w:color="auto" w:fill="auto"/>
            <w:vAlign w:val="center"/>
          </w:tcPr>
          <w:p w14:paraId="6E863FB1">
            <w:pPr>
              <w:widowControl/>
              <w:jc w:val="left"/>
              <w:rPr>
                <w:rFonts w:ascii="宋体" w:hAnsi="宋体" w:cs="宋体"/>
                <w:kern w:val="0"/>
                <w:szCs w:val="21"/>
              </w:rPr>
            </w:pPr>
            <w:r>
              <w:rPr>
                <w:rFonts w:hint="eastAsia" w:ascii="宋体" w:hAnsi="宋体" w:cs="宋体"/>
                <w:kern w:val="0"/>
                <w:szCs w:val="21"/>
              </w:rPr>
              <w:t>政府审计数据库-CGAD</w:t>
            </w:r>
          </w:p>
        </w:tc>
      </w:tr>
      <w:tr w14:paraId="512BB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0054FBD7">
            <w:pPr>
              <w:widowControl/>
              <w:jc w:val="center"/>
              <w:rPr>
                <w:rFonts w:ascii="宋体" w:hAnsi="宋体"/>
                <w:kern w:val="0"/>
                <w:szCs w:val="21"/>
              </w:rPr>
            </w:pPr>
            <w:r>
              <w:rPr>
                <w:rFonts w:ascii="宋体" w:hAnsi="宋体"/>
                <w:kern w:val="0"/>
                <w:szCs w:val="21"/>
              </w:rPr>
              <w:t>17</w:t>
            </w:r>
          </w:p>
        </w:tc>
        <w:tc>
          <w:tcPr>
            <w:tcW w:w="5516" w:type="dxa"/>
            <w:shd w:val="clear" w:color="auto" w:fill="auto"/>
            <w:vAlign w:val="center"/>
          </w:tcPr>
          <w:p w14:paraId="1E2CA442">
            <w:pPr>
              <w:widowControl/>
              <w:jc w:val="left"/>
              <w:rPr>
                <w:rFonts w:ascii="宋体" w:hAnsi="宋体" w:cs="宋体"/>
                <w:kern w:val="0"/>
                <w:szCs w:val="21"/>
              </w:rPr>
            </w:pPr>
            <w:r>
              <w:rPr>
                <w:rFonts w:hint="eastAsia" w:ascii="宋体" w:hAnsi="宋体" w:cs="宋体"/>
                <w:kern w:val="0"/>
                <w:szCs w:val="21"/>
              </w:rPr>
              <w:t>中国高校科技统计数据库-USTS</w:t>
            </w:r>
          </w:p>
        </w:tc>
      </w:tr>
      <w:tr w14:paraId="69DBC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58F768A8">
            <w:pPr>
              <w:widowControl/>
              <w:jc w:val="center"/>
              <w:rPr>
                <w:rFonts w:ascii="宋体" w:hAnsi="宋体"/>
                <w:kern w:val="0"/>
                <w:szCs w:val="21"/>
              </w:rPr>
            </w:pPr>
            <w:r>
              <w:rPr>
                <w:rFonts w:ascii="宋体" w:hAnsi="宋体"/>
                <w:kern w:val="0"/>
                <w:szCs w:val="21"/>
              </w:rPr>
              <w:t>18</w:t>
            </w:r>
          </w:p>
        </w:tc>
        <w:tc>
          <w:tcPr>
            <w:tcW w:w="5516" w:type="dxa"/>
            <w:shd w:val="clear" w:color="auto" w:fill="auto"/>
            <w:vAlign w:val="center"/>
          </w:tcPr>
          <w:p w14:paraId="1CBEDFEA">
            <w:pPr>
              <w:widowControl/>
              <w:jc w:val="left"/>
              <w:rPr>
                <w:rFonts w:ascii="宋体" w:hAnsi="宋体" w:cs="宋体"/>
                <w:kern w:val="0"/>
                <w:szCs w:val="21"/>
              </w:rPr>
            </w:pPr>
            <w:r>
              <w:rPr>
                <w:rFonts w:hint="eastAsia" w:ascii="宋体" w:hAnsi="宋体" w:cs="宋体"/>
                <w:kern w:val="0"/>
                <w:szCs w:val="21"/>
              </w:rPr>
              <w:t>中国非营利组织数据库-CNGO</w:t>
            </w:r>
          </w:p>
        </w:tc>
      </w:tr>
      <w:tr w14:paraId="038B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3EA9D9FE">
            <w:pPr>
              <w:widowControl/>
              <w:jc w:val="center"/>
              <w:rPr>
                <w:rFonts w:ascii="宋体" w:hAnsi="宋体"/>
                <w:kern w:val="0"/>
                <w:szCs w:val="21"/>
              </w:rPr>
            </w:pPr>
            <w:r>
              <w:rPr>
                <w:rFonts w:ascii="宋体" w:hAnsi="宋体"/>
                <w:kern w:val="0"/>
                <w:szCs w:val="21"/>
              </w:rPr>
              <w:t>19</w:t>
            </w:r>
          </w:p>
        </w:tc>
        <w:tc>
          <w:tcPr>
            <w:tcW w:w="5516" w:type="dxa"/>
            <w:shd w:val="clear" w:color="auto" w:fill="auto"/>
            <w:vAlign w:val="center"/>
          </w:tcPr>
          <w:p w14:paraId="599C3780">
            <w:pPr>
              <w:widowControl/>
              <w:jc w:val="left"/>
              <w:rPr>
                <w:rFonts w:ascii="宋体" w:hAnsi="宋体" w:cs="宋体"/>
                <w:kern w:val="0"/>
                <w:szCs w:val="21"/>
              </w:rPr>
            </w:pPr>
            <w:r>
              <w:rPr>
                <w:rFonts w:hint="eastAsia" w:ascii="宋体" w:hAnsi="宋体" w:cs="宋体"/>
                <w:kern w:val="0"/>
                <w:szCs w:val="21"/>
              </w:rPr>
              <w:t>全球夜间灯光数据库-GNLD</w:t>
            </w:r>
          </w:p>
        </w:tc>
      </w:tr>
      <w:tr w14:paraId="5B5F2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8E1E194">
            <w:pPr>
              <w:widowControl/>
              <w:jc w:val="center"/>
              <w:rPr>
                <w:rFonts w:ascii="宋体" w:hAnsi="宋体"/>
                <w:kern w:val="0"/>
                <w:szCs w:val="21"/>
              </w:rPr>
            </w:pPr>
            <w:r>
              <w:rPr>
                <w:rFonts w:ascii="宋体" w:hAnsi="宋体"/>
                <w:kern w:val="0"/>
                <w:szCs w:val="21"/>
              </w:rPr>
              <w:t>20</w:t>
            </w:r>
          </w:p>
        </w:tc>
        <w:tc>
          <w:tcPr>
            <w:tcW w:w="5516" w:type="dxa"/>
            <w:shd w:val="clear" w:color="auto" w:fill="auto"/>
            <w:vAlign w:val="center"/>
          </w:tcPr>
          <w:p w14:paraId="7738E640">
            <w:pPr>
              <w:widowControl/>
              <w:jc w:val="left"/>
              <w:rPr>
                <w:rFonts w:ascii="宋体" w:hAnsi="宋体" w:cs="宋体"/>
                <w:kern w:val="0"/>
                <w:szCs w:val="21"/>
              </w:rPr>
            </w:pPr>
            <w:r>
              <w:rPr>
                <w:rFonts w:hint="eastAsia" w:ascii="宋体" w:hAnsi="宋体" w:cs="宋体"/>
                <w:kern w:val="0"/>
                <w:szCs w:val="21"/>
              </w:rPr>
              <w:t>中国高铁航线数据库-CRAD</w:t>
            </w:r>
          </w:p>
        </w:tc>
      </w:tr>
      <w:tr w14:paraId="5767C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1423845">
            <w:pPr>
              <w:widowControl/>
              <w:jc w:val="center"/>
              <w:rPr>
                <w:rFonts w:ascii="宋体" w:hAnsi="宋体"/>
                <w:kern w:val="0"/>
                <w:szCs w:val="21"/>
              </w:rPr>
            </w:pPr>
            <w:r>
              <w:rPr>
                <w:rFonts w:ascii="宋体" w:hAnsi="宋体"/>
                <w:kern w:val="0"/>
                <w:szCs w:val="21"/>
              </w:rPr>
              <w:t>21</w:t>
            </w:r>
          </w:p>
        </w:tc>
        <w:tc>
          <w:tcPr>
            <w:tcW w:w="5516" w:type="dxa"/>
            <w:shd w:val="clear" w:color="auto" w:fill="auto"/>
            <w:vAlign w:val="center"/>
          </w:tcPr>
          <w:p w14:paraId="4E5D573A">
            <w:pPr>
              <w:widowControl/>
              <w:jc w:val="left"/>
              <w:rPr>
                <w:rFonts w:ascii="宋体" w:hAnsi="宋体" w:cs="宋体"/>
                <w:kern w:val="0"/>
                <w:szCs w:val="21"/>
              </w:rPr>
            </w:pPr>
            <w:r>
              <w:rPr>
                <w:rFonts w:hint="eastAsia" w:ascii="宋体" w:hAnsi="宋体" w:cs="宋体"/>
                <w:kern w:val="0"/>
                <w:szCs w:val="21"/>
              </w:rPr>
              <w:t>中国环境数据库-CEDS</w:t>
            </w:r>
          </w:p>
        </w:tc>
      </w:tr>
      <w:tr w14:paraId="34A0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95C609B">
            <w:pPr>
              <w:widowControl/>
              <w:jc w:val="center"/>
              <w:rPr>
                <w:rFonts w:ascii="宋体" w:hAnsi="宋体"/>
                <w:kern w:val="0"/>
                <w:szCs w:val="21"/>
              </w:rPr>
            </w:pPr>
            <w:r>
              <w:rPr>
                <w:rFonts w:ascii="宋体" w:hAnsi="宋体"/>
                <w:kern w:val="0"/>
                <w:szCs w:val="21"/>
              </w:rPr>
              <w:t>22</w:t>
            </w:r>
          </w:p>
        </w:tc>
        <w:tc>
          <w:tcPr>
            <w:tcW w:w="5516" w:type="dxa"/>
            <w:shd w:val="clear" w:color="auto" w:fill="auto"/>
            <w:vAlign w:val="center"/>
          </w:tcPr>
          <w:p w14:paraId="307B36DD">
            <w:pPr>
              <w:widowControl/>
              <w:jc w:val="left"/>
              <w:rPr>
                <w:rFonts w:ascii="宋体" w:hAnsi="宋体" w:cs="宋体"/>
                <w:kern w:val="0"/>
                <w:szCs w:val="21"/>
              </w:rPr>
            </w:pPr>
            <w:r>
              <w:rPr>
                <w:rFonts w:hint="eastAsia" w:ascii="宋体" w:hAnsi="宋体" w:cs="宋体"/>
                <w:kern w:val="0"/>
                <w:szCs w:val="21"/>
              </w:rPr>
              <w:t>中国商品交易市场统计数据库-CEMD</w:t>
            </w:r>
          </w:p>
        </w:tc>
      </w:tr>
      <w:tr w14:paraId="0299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E9BB9FA">
            <w:pPr>
              <w:widowControl/>
              <w:jc w:val="center"/>
              <w:rPr>
                <w:rFonts w:ascii="宋体" w:hAnsi="宋体"/>
                <w:kern w:val="0"/>
                <w:szCs w:val="21"/>
              </w:rPr>
            </w:pPr>
            <w:r>
              <w:rPr>
                <w:rFonts w:ascii="宋体" w:hAnsi="宋体"/>
                <w:kern w:val="0"/>
                <w:szCs w:val="21"/>
              </w:rPr>
              <w:t>23</w:t>
            </w:r>
          </w:p>
        </w:tc>
        <w:tc>
          <w:tcPr>
            <w:tcW w:w="5516" w:type="dxa"/>
            <w:shd w:val="clear" w:color="auto" w:fill="auto"/>
            <w:vAlign w:val="center"/>
          </w:tcPr>
          <w:p w14:paraId="262CC7AC">
            <w:pPr>
              <w:widowControl/>
              <w:jc w:val="left"/>
              <w:rPr>
                <w:rFonts w:ascii="宋体" w:hAnsi="宋体" w:cs="宋体"/>
                <w:kern w:val="0"/>
                <w:szCs w:val="21"/>
              </w:rPr>
            </w:pPr>
            <w:r>
              <w:rPr>
                <w:rFonts w:hint="eastAsia" w:ascii="宋体" w:hAnsi="宋体" w:cs="宋体"/>
                <w:kern w:val="0"/>
                <w:szCs w:val="21"/>
              </w:rPr>
              <w:t>中国城市统计数据库-CCSD</w:t>
            </w:r>
          </w:p>
        </w:tc>
      </w:tr>
      <w:tr w14:paraId="67F0B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DB1F23B">
            <w:pPr>
              <w:widowControl/>
              <w:jc w:val="center"/>
              <w:rPr>
                <w:rFonts w:ascii="宋体" w:hAnsi="宋体"/>
                <w:kern w:val="0"/>
                <w:szCs w:val="21"/>
              </w:rPr>
            </w:pPr>
            <w:r>
              <w:rPr>
                <w:rFonts w:ascii="宋体" w:hAnsi="宋体"/>
                <w:kern w:val="0"/>
                <w:szCs w:val="21"/>
              </w:rPr>
              <w:t>24</w:t>
            </w:r>
          </w:p>
        </w:tc>
        <w:tc>
          <w:tcPr>
            <w:tcW w:w="5516" w:type="dxa"/>
            <w:shd w:val="clear" w:color="auto" w:fill="auto"/>
            <w:vAlign w:val="center"/>
          </w:tcPr>
          <w:p w14:paraId="64BD77A1">
            <w:pPr>
              <w:widowControl/>
              <w:jc w:val="left"/>
              <w:rPr>
                <w:rFonts w:ascii="宋体" w:hAnsi="宋体" w:cs="宋体"/>
                <w:kern w:val="0"/>
                <w:szCs w:val="21"/>
              </w:rPr>
            </w:pPr>
            <w:r>
              <w:rPr>
                <w:rFonts w:hint="eastAsia" w:ascii="宋体" w:hAnsi="宋体" w:cs="宋体"/>
                <w:kern w:val="0"/>
                <w:szCs w:val="21"/>
              </w:rPr>
              <w:t>产业政策研究数据库-IPRD</w:t>
            </w:r>
          </w:p>
        </w:tc>
      </w:tr>
      <w:tr w14:paraId="73543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5E4BCEB8">
            <w:pPr>
              <w:widowControl/>
              <w:jc w:val="center"/>
              <w:rPr>
                <w:rFonts w:ascii="宋体" w:hAnsi="宋体"/>
                <w:kern w:val="0"/>
                <w:szCs w:val="21"/>
              </w:rPr>
            </w:pPr>
            <w:r>
              <w:rPr>
                <w:rFonts w:ascii="宋体" w:hAnsi="宋体"/>
                <w:kern w:val="0"/>
                <w:szCs w:val="21"/>
              </w:rPr>
              <w:t>25</w:t>
            </w:r>
          </w:p>
        </w:tc>
        <w:tc>
          <w:tcPr>
            <w:tcW w:w="5516" w:type="dxa"/>
            <w:shd w:val="clear" w:color="auto" w:fill="auto"/>
            <w:vAlign w:val="center"/>
          </w:tcPr>
          <w:p w14:paraId="240D6B90">
            <w:pPr>
              <w:widowControl/>
              <w:jc w:val="left"/>
              <w:rPr>
                <w:rFonts w:ascii="宋体" w:hAnsi="宋体" w:cs="宋体"/>
                <w:kern w:val="0"/>
                <w:szCs w:val="21"/>
              </w:rPr>
            </w:pPr>
            <w:r>
              <w:rPr>
                <w:rFonts w:hint="eastAsia" w:ascii="宋体" w:hAnsi="宋体" w:cs="宋体"/>
                <w:kern w:val="0"/>
                <w:szCs w:val="21"/>
              </w:rPr>
              <w:t>中国能源统计数据库-CESD</w:t>
            </w:r>
          </w:p>
        </w:tc>
      </w:tr>
      <w:tr w14:paraId="26929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8000198">
            <w:pPr>
              <w:widowControl/>
              <w:jc w:val="center"/>
              <w:rPr>
                <w:rFonts w:ascii="宋体" w:hAnsi="宋体"/>
                <w:kern w:val="0"/>
                <w:szCs w:val="21"/>
              </w:rPr>
            </w:pPr>
            <w:r>
              <w:rPr>
                <w:rFonts w:ascii="宋体" w:hAnsi="宋体"/>
                <w:kern w:val="0"/>
                <w:szCs w:val="21"/>
              </w:rPr>
              <w:t>26</w:t>
            </w:r>
          </w:p>
        </w:tc>
        <w:tc>
          <w:tcPr>
            <w:tcW w:w="5516" w:type="dxa"/>
            <w:shd w:val="clear" w:color="auto" w:fill="auto"/>
            <w:vAlign w:val="center"/>
          </w:tcPr>
          <w:p w14:paraId="7274F4DA">
            <w:pPr>
              <w:widowControl/>
              <w:jc w:val="left"/>
              <w:rPr>
                <w:rFonts w:ascii="宋体" w:hAnsi="宋体" w:cs="宋体"/>
                <w:kern w:val="0"/>
                <w:szCs w:val="21"/>
              </w:rPr>
            </w:pPr>
            <w:r>
              <w:rPr>
                <w:rFonts w:hint="eastAsia" w:ascii="宋体" w:hAnsi="宋体" w:cs="宋体"/>
                <w:kern w:val="0"/>
                <w:szCs w:val="21"/>
              </w:rPr>
              <w:t>中国高技术产业统计数据库-HISD</w:t>
            </w:r>
          </w:p>
        </w:tc>
      </w:tr>
      <w:tr w14:paraId="7018F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03008164">
            <w:pPr>
              <w:widowControl/>
              <w:jc w:val="center"/>
              <w:rPr>
                <w:rFonts w:ascii="宋体" w:hAnsi="宋体"/>
                <w:kern w:val="0"/>
                <w:szCs w:val="21"/>
              </w:rPr>
            </w:pPr>
            <w:r>
              <w:rPr>
                <w:rFonts w:ascii="宋体" w:hAnsi="宋体"/>
                <w:kern w:val="0"/>
                <w:szCs w:val="21"/>
              </w:rPr>
              <w:t>27</w:t>
            </w:r>
          </w:p>
        </w:tc>
        <w:tc>
          <w:tcPr>
            <w:tcW w:w="5516" w:type="dxa"/>
            <w:shd w:val="clear" w:color="auto" w:fill="auto"/>
            <w:vAlign w:val="center"/>
          </w:tcPr>
          <w:p w14:paraId="4A473AA5">
            <w:pPr>
              <w:widowControl/>
              <w:jc w:val="left"/>
              <w:rPr>
                <w:rFonts w:ascii="宋体" w:hAnsi="宋体" w:cs="宋体"/>
                <w:kern w:val="0"/>
                <w:szCs w:val="21"/>
              </w:rPr>
            </w:pPr>
            <w:r>
              <w:rPr>
                <w:rFonts w:hint="eastAsia" w:ascii="宋体" w:hAnsi="宋体" w:cs="宋体"/>
                <w:kern w:val="0"/>
                <w:szCs w:val="21"/>
              </w:rPr>
              <w:t>海外并购数据库-COMA</w:t>
            </w:r>
          </w:p>
        </w:tc>
      </w:tr>
      <w:tr w14:paraId="4586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2D18B13">
            <w:pPr>
              <w:widowControl/>
              <w:jc w:val="center"/>
              <w:rPr>
                <w:rFonts w:ascii="宋体" w:hAnsi="宋体"/>
                <w:kern w:val="0"/>
                <w:szCs w:val="21"/>
              </w:rPr>
            </w:pPr>
            <w:r>
              <w:rPr>
                <w:rFonts w:ascii="宋体" w:hAnsi="宋体"/>
                <w:kern w:val="0"/>
                <w:szCs w:val="21"/>
              </w:rPr>
              <w:t>28</w:t>
            </w:r>
          </w:p>
        </w:tc>
        <w:tc>
          <w:tcPr>
            <w:tcW w:w="5516" w:type="dxa"/>
            <w:shd w:val="clear" w:color="auto" w:fill="auto"/>
            <w:vAlign w:val="center"/>
          </w:tcPr>
          <w:p w14:paraId="0C9E3102">
            <w:pPr>
              <w:widowControl/>
              <w:jc w:val="left"/>
              <w:rPr>
                <w:rFonts w:ascii="宋体" w:hAnsi="宋体" w:cs="宋体"/>
                <w:kern w:val="0"/>
                <w:szCs w:val="21"/>
              </w:rPr>
            </w:pPr>
            <w:r>
              <w:rPr>
                <w:rFonts w:hint="eastAsia" w:ascii="宋体" w:hAnsi="宋体" w:cs="宋体"/>
                <w:kern w:val="0"/>
                <w:szCs w:val="21"/>
              </w:rPr>
              <w:t>中国对外直接投资数据库-OFDI</w:t>
            </w:r>
          </w:p>
        </w:tc>
      </w:tr>
      <w:tr w14:paraId="0C199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51BFBEAB">
            <w:pPr>
              <w:widowControl/>
              <w:jc w:val="center"/>
              <w:rPr>
                <w:rFonts w:ascii="宋体" w:hAnsi="宋体"/>
                <w:kern w:val="0"/>
                <w:szCs w:val="21"/>
              </w:rPr>
            </w:pPr>
            <w:r>
              <w:rPr>
                <w:rFonts w:ascii="宋体" w:hAnsi="宋体"/>
                <w:kern w:val="0"/>
                <w:szCs w:val="21"/>
              </w:rPr>
              <w:t>29</w:t>
            </w:r>
          </w:p>
        </w:tc>
        <w:tc>
          <w:tcPr>
            <w:tcW w:w="5516" w:type="dxa"/>
            <w:shd w:val="clear" w:color="auto" w:fill="auto"/>
            <w:vAlign w:val="center"/>
          </w:tcPr>
          <w:p w14:paraId="7BFDB987">
            <w:pPr>
              <w:widowControl/>
              <w:jc w:val="left"/>
              <w:rPr>
                <w:rFonts w:ascii="宋体" w:hAnsi="宋体" w:cs="宋体"/>
                <w:kern w:val="0"/>
                <w:szCs w:val="21"/>
              </w:rPr>
            </w:pPr>
            <w:r>
              <w:rPr>
                <w:rFonts w:hint="eastAsia" w:ascii="宋体" w:hAnsi="宋体" w:cs="宋体"/>
                <w:kern w:val="0"/>
                <w:szCs w:val="21"/>
              </w:rPr>
              <w:t>一带一路研究数据库-BRRD</w:t>
            </w:r>
          </w:p>
        </w:tc>
      </w:tr>
      <w:tr w14:paraId="20FB0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F26F40F">
            <w:pPr>
              <w:widowControl/>
              <w:jc w:val="center"/>
              <w:rPr>
                <w:rFonts w:ascii="宋体" w:hAnsi="宋体"/>
                <w:kern w:val="0"/>
                <w:szCs w:val="21"/>
              </w:rPr>
            </w:pPr>
            <w:r>
              <w:rPr>
                <w:rFonts w:ascii="宋体" w:hAnsi="宋体"/>
                <w:kern w:val="0"/>
                <w:szCs w:val="21"/>
              </w:rPr>
              <w:t>30</w:t>
            </w:r>
          </w:p>
        </w:tc>
        <w:tc>
          <w:tcPr>
            <w:tcW w:w="5516" w:type="dxa"/>
            <w:shd w:val="clear" w:color="auto" w:fill="auto"/>
            <w:vAlign w:val="center"/>
          </w:tcPr>
          <w:p w14:paraId="1949F8DC">
            <w:pPr>
              <w:widowControl/>
              <w:jc w:val="left"/>
              <w:rPr>
                <w:rFonts w:ascii="宋体" w:hAnsi="宋体" w:cs="宋体"/>
                <w:kern w:val="0"/>
                <w:szCs w:val="21"/>
              </w:rPr>
            </w:pPr>
            <w:r>
              <w:rPr>
                <w:rFonts w:hint="eastAsia" w:ascii="宋体" w:hAnsi="宋体" w:cs="宋体"/>
                <w:kern w:val="0"/>
                <w:szCs w:val="21"/>
              </w:rPr>
              <w:t>中国文化研究数据库-CCRD</w:t>
            </w:r>
          </w:p>
        </w:tc>
      </w:tr>
      <w:tr w14:paraId="050F8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ED6101D">
            <w:pPr>
              <w:widowControl/>
              <w:jc w:val="center"/>
              <w:rPr>
                <w:rFonts w:ascii="宋体" w:hAnsi="宋体"/>
                <w:kern w:val="0"/>
                <w:szCs w:val="21"/>
              </w:rPr>
            </w:pPr>
            <w:r>
              <w:rPr>
                <w:rFonts w:ascii="宋体" w:hAnsi="宋体"/>
                <w:kern w:val="0"/>
                <w:szCs w:val="21"/>
              </w:rPr>
              <w:t>31</w:t>
            </w:r>
          </w:p>
        </w:tc>
        <w:tc>
          <w:tcPr>
            <w:tcW w:w="5516" w:type="dxa"/>
            <w:shd w:val="clear" w:color="auto" w:fill="auto"/>
            <w:vAlign w:val="center"/>
          </w:tcPr>
          <w:p w14:paraId="70861AE0">
            <w:pPr>
              <w:widowControl/>
              <w:jc w:val="left"/>
              <w:rPr>
                <w:rFonts w:ascii="宋体" w:hAnsi="宋体" w:cs="宋体"/>
                <w:kern w:val="0"/>
                <w:szCs w:val="21"/>
              </w:rPr>
            </w:pPr>
            <w:r>
              <w:rPr>
                <w:rFonts w:hint="eastAsia" w:ascii="宋体" w:hAnsi="宋体" w:cs="宋体"/>
                <w:kern w:val="0"/>
                <w:szCs w:val="21"/>
              </w:rPr>
              <w:t>中国税收研究数据库-CTRD</w:t>
            </w:r>
          </w:p>
        </w:tc>
      </w:tr>
      <w:tr w14:paraId="4AB2A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9FDF7AA">
            <w:pPr>
              <w:widowControl/>
              <w:jc w:val="center"/>
              <w:rPr>
                <w:rFonts w:ascii="宋体" w:hAnsi="宋体"/>
                <w:kern w:val="0"/>
                <w:szCs w:val="21"/>
              </w:rPr>
            </w:pPr>
            <w:r>
              <w:rPr>
                <w:rFonts w:ascii="宋体" w:hAnsi="宋体"/>
                <w:kern w:val="0"/>
                <w:szCs w:val="21"/>
              </w:rPr>
              <w:t>32</w:t>
            </w:r>
          </w:p>
        </w:tc>
        <w:tc>
          <w:tcPr>
            <w:tcW w:w="5516" w:type="dxa"/>
            <w:shd w:val="clear" w:color="auto" w:fill="auto"/>
            <w:vAlign w:val="center"/>
          </w:tcPr>
          <w:p w14:paraId="5628C85B">
            <w:pPr>
              <w:widowControl/>
              <w:jc w:val="left"/>
              <w:rPr>
                <w:rFonts w:ascii="宋体" w:hAnsi="宋体" w:cs="宋体"/>
                <w:kern w:val="0"/>
                <w:szCs w:val="21"/>
              </w:rPr>
            </w:pPr>
            <w:r>
              <w:rPr>
                <w:rFonts w:hint="eastAsia" w:ascii="宋体" w:hAnsi="宋体" w:cs="宋体"/>
                <w:kern w:val="0"/>
                <w:szCs w:val="21"/>
              </w:rPr>
              <w:t>中国工业统计数据库-CISD</w:t>
            </w:r>
          </w:p>
        </w:tc>
      </w:tr>
      <w:tr w14:paraId="60D2D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6DF73611">
            <w:pPr>
              <w:widowControl/>
              <w:jc w:val="center"/>
              <w:rPr>
                <w:rFonts w:ascii="宋体" w:hAnsi="宋体"/>
                <w:kern w:val="0"/>
                <w:szCs w:val="21"/>
              </w:rPr>
            </w:pPr>
            <w:r>
              <w:rPr>
                <w:rFonts w:ascii="宋体" w:hAnsi="宋体"/>
                <w:kern w:val="0"/>
                <w:szCs w:val="21"/>
              </w:rPr>
              <w:t>33</w:t>
            </w:r>
          </w:p>
        </w:tc>
        <w:tc>
          <w:tcPr>
            <w:tcW w:w="5516" w:type="dxa"/>
            <w:shd w:val="clear" w:color="auto" w:fill="auto"/>
            <w:vAlign w:val="center"/>
          </w:tcPr>
          <w:p w14:paraId="66EC8E85">
            <w:pPr>
              <w:widowControl/>
              <w:jc w:val="left"/>
              <w:rPr>
                <w:rFonts w:ascii="宋体" w:hAnsi="宋体" w:cs="宋体"/>
                <w:kern w:val="0"/>
                <w:szCs w:val="21"/>
              </w:rPr>
            </w:pPr>
            <w:r>
              <w:rPr>
                <w:rFonts w:hint="eastAsia" w:ascii="宋体" w:hAnsi="宋体" w:cs="宋体"/>
                <w:kern w:val="0"/>
                <w:szCs w:val="21"/>
              </w:rPr>
              <w:t>碳中和研究数据库-CNLD</w:t>
            </w:r>
          </w:p>
        </w:tc>
      </w:tr>
      <w:tr w14:paraId="0AEE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545EC9F8">
            <w:pPr>
              <w:widowControl/>
              <w:jc w:val="center"/>
              <w:rPr>
                <w:rFonts w:ascii="宋体" w:hAnsi="宋体"/>
                <w:kern w:val="0"/>
                <w:szCs w:val="21"/>
              </w:rPr>
            </w:pPr>
            <w:r>
              <w:rPr>
                <w:rFonts w:ascii="宋体" w:hAnsi="宋体"/>
                <w:kern w:val="0"/>
                <w:szCs w:val="21"/>
              </w:rPr>
              <w:t>34</w:t>
            </w:r>
          </w:p>
        </w:tc>
        <w:tc>
          <w:tcPr>
            <w:tcW w:w="5516" w:type="dxa"/>
            <w:shd w:val="clear" w:color="auto" w:fill="auto"/>
            <w:vAlign w:val="center"/>
          </w:tcPr>
          <w:p w14:paraId="06DEC618">
            <w:pPr>
              <w:widowControl/>
              <w:jc w:val="left"/>
              <w:rPr>
                <w:rFonts w:ascii="宋体" w:hAnsi="宋体" w:cs="宋体"/>
                <w:kern w:val="0"/>
                <w:szCs w:val="21"/>
              </w:rPr>
            </w:pPr>
            <w:r>
              <w:rPr>
                <w:rFonts w:hint="eastAsia" w:ascii="宋体" w:hAnsi="宋体" w:cs="宋体"/>
                <w:kern w:val="0"/>
                <w:szCs w:val="21"/>
              </w:rPr>
              <w:t>上市公司海外经营数据库-COOD</w:t>
            </w:r>
          </w:p>
        </w:tc>
      </w:tr>
      <w:tr w14:paraId="71DE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3A63A2D8">
            <w:pPr>
              <w:widowControl/>
              <w:jc w:val="center"/>
              <w:rPr>
                <w:rFonts w:ascii="宋体" w:hAnsi="宋体"/>
                <w:kern w:val="0"/>
                <w:szCs w:val="21"/>
              </w:rPr>
            </w:pPr>
            <w:r>
              <w:rPr>
                <w:rFonts w:ascii="宋体" w:hAnsi="宋体"/>
                <w:kern w:val="0"/>
                <w:szCs w:val="21"/>
              </w:rPr>
              <w:t>35</w:t>
            </w:r>
          </w:p>
        </w:tc>
        <w:tc>
          <w:tcPr>
            <w:tcW w:w="5516" w:type="dxa"/>
            <w:shd w:val="clear" w:color="auto" w:fill="auto"/>
            <w:vAlign w:val="center"/>
          </w:tcPr>
          <w:p w14:paraId="4E5F8570">
            <w:pPr>
              <w:widowControl/>
              <w:jc w:val="left"/>
              <w:rPr>
                <w:rFonts w:ascii="宋体" w:hAnsi="宋体" w:cs="宋体"/>
                <w:kern w:val="0"/>
                <w:szCs w:val="21"/>
              </w:rPr>
            </w:pPr>
            <w:r>
              <w:rPr>
                <w:rFonts w:hint="eastAsia" w:ascii="宋体" w:hAnsi="宋体" w:cs="宋体"/>
                <w:kern w:val="0"/>
                <w:szCs w:val="21"/>
              </w:rPr>
              <w:t>高新技术企业研究数据库-HTED</w:t>
            </w:r>
          </w:p>
        </w:tc>
      </w:tr>
      <w:tr w14:paraId="0CEE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3F4E93CE">
            <w:pPr>
              <w:widowControl/>
              <w:jc w:val="center"/>
              <w:rPr>
                <w:rFonts w:ascii="宋体" w:hAnsi="宋体"/>
                <w:kern w:val="0"/>
                <w:szCs w:val="21"/>
              </w:rPr>
            </w:pPr>
            <w:r>
              <w:rPr>
                <w:rFonts w:ascii="宋体" w:hAnsi="宋体"/>
                <w:kern w:val="0"/>
                <w:szCs w:val="21"/>
              </w:rPr>
              <w:t>36</w:t>
            </w:r>
          </w:p>
        </w:tc>
        <w:tc>
          <w:tcPr>
            <w:tcW w:w="5516" w:type="dxa"/>
            <w:shd w:val="clear" w:color="auto" w:fill="auto"/>
            <w:vAlign w:val="center"/>
          </w:tcPr>
          <w:p w14:paraId="2ACFFBB9">
            <w:pPr>
              <w:widowControl/>
              <w:jc w:val="left"/>
              <w:rPr>
                <w:rFonts w:ascii="宋体" w:hAnsi="宋体" w:cs="宋体"/>
                <w:kern w:val="0"/>
                <w:szCs w:val="21"/>
              </w:rPr>
            </w:pPr>
            <w:r>
              <w:rPr>
                <w:rFonts w:hint="eastAsia" w:ascii="宋体" w:hAnsi="宋体" w:cs="宋体"/>
                <w:kern w:val="0"/>
                <w:szCs w:val="21"/>
              </w:rPr>
              <w:t>中国第三产业统计数据库-TISD</w:t>
            </w:r>
          </w:p>
        </w:tc>
      </w:tr>
      <w:tr w14:paraId="78D9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22065E34">
            <w:pPr>
              <w:widowControl/>
              <w:jc w:val="center"/>
              <w:rPr>
                <w:rFonts w:ascii="宋体" w:hAnsi="宋体"/>
                <w:kern w:val="0"/>
                <w:szCs w:val="21"/>
              </w:rPr>
            </w:pPr>
            <w:r>
              <w:rPr>
                <w:rFonts w:ascii="宋体" w:hAnsi="宋体"/>
                <w:kern w:val="0"/>
                <w:szCs w:val="21"/>
              </w:rPr>
              <w:t>37</w:t>
            </w:r>
          </w:p>
        </w:tc>
        <w:tc>
          <w:tcPr>
            <w:tcW w:w="5516" w:type="dxa"/>
            <w:shd w:val="clear" w:color="auto" w:fill="auto"/>
            <w:vAlign w:val="center"/>
          </w:tcPr>
          <w:p w14:paraId="03987D24">
            <w:pPr>
              <w:widowControl/>
              <w:jc w:val="left"/>
              <w:rPr>
                <w:rFonts w:ascii="宋体" w:hAnsi="宋体" w:cs="宋体"/>
                <w:kern w:val="0"/>
                <w:szCs w:val="21"/>
              </w:rPr>
            </w:pPr>
            <w:r>
              <w:rPr>
                <w:rFonts w:hint="eastAsia" w:ascii="宋体" w:hAnsi="宋体" w:cs="宋体"/>
                <w:kern w:val="0"/>
                <w:szCs w:val="21"/>
              </w:rPr>
              <w:t>数字经济研究数据库-DERD</w:t>
            </w:r>
          </w:p>
        </w:tc>
      </w:tr>
      <w:tr w14:paraId="0150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2298360">
            <w:pPr>
              <w:widowControl/>
              <w:jc w:val="center"/>
              <w:rPr>
                <w:rFonts w:ascii="宋体" w:hAnsi="宋体"/>
                <w:kern w:val="0"/>
                <w:szCs w:val="21"/>
              </w:rPr>
            </w:pPr>
            <w:r>
              <w:rPr>
                <w:rFonts w:ascii="宋体" w:hAnsi="宋体"/>
                <w:kern w:val="0"/>
                <w:szCs w:val="21"/>
              </w:rPr>
              <w:t>38</w:t>
            </w:r>
          </w:p>
        </w:tc>
        <w:tc>
          <w:tcPr>
            <w:tcW w:w="5516" w:type="dxa"/>
            <w:shd w:val="clear" w:color="auto" w:fill="auto"/>
            <w:vAlign w:val="center"/>
          </w:tcPr>
          <w:p w14:paraId="7ACA4D30">
            <w:pPr>
              <w:widowControl/>
              <w:jc w:val="left"/>
              <w:rPr>
                <w:rFonts w:ascii="宋体" w:hAnsi="宋体" w:cs="宋体"/>
                <w:kern w:val="0"/>
                <w:szCs w:val="21"/>
              </w:rPr>
            </w:pPr>
            <w:r>
              <w:rPr>
                <w:rFonts w:hint="eastAsia" w:ascii="宋体" w:hAnsi="宋体" w:cs="宋体"/>
                <w:kern w:val="0"/>
                <w:szCs w:val="21"/>
              </w:rPr>
              <w:t>工业企业专利数据库-IIED</w:t>
            </w:r>
          </w:p>
        </w:tc>
      </w:tr>
      <w:tr w14:paraId="304C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467F2313">
            <w:pPr>
              <w:widowControl/>
              <w:jc w:val="center"/>
              <w:rPr>
                <w:rFonts w:ascii="宋体" w:hAnsi="宋体"/>
                <w:kern w:val="0"/>
                <w:szCs w:val="21"/>
              </w:rPr>
            </w:pPr>
            <w:r>
              <w:rPr>
                <w:rFonts w:ascii="宋体" w:hAnsi="宋体"/>
                <w:kern w:val="0"/>
                <w:szCs w:val="21"/>
              </w:rPr>
              <w:t>39</w:t>
            </w:r>
          </w:p>
        </w:tc>
        <w:tc>
          <w:tcPr>
            <w:tcW w:w="5516" w:type="dxa"/>
            <w:shd w:val="clear" w:color="auto" w:fill="auto"/>
            <w:vAlign w:val="center"/>
          </w:tcPr>
          <w:p w14:paraId="2520AB4E">
            <w:pPr>
              <w:widowControl/>
              <w:jc w:val="left"/>
              <w:rPr>
                <w:rFonts w:ascii="宋体" w:hAnsi="宋体" w:cs="宋体"/>
                <w:kern w:val="0"/>
                <w:szCs w:val="21"/>
              </w:rPr>
            </w:pPr>
            <w:r>
              <w:rPr>
                <w:rFonts w:hint="eastAsia" w:ascii="宋体" w:hAnsi="宋体" w:cs="宋体"/>
                <w:kern w:val="0"/>
                <w:szCs w:val="21"/>
              </w:rPr>
              <w:t>中国贸易外经统计数据库-TEES</w:t>
            </w:r>
          </w:p>
        </w:tc>
      </w:tr>
      <w:tr w14:paraId="2D7BA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1316067C">
            <w:pPr>
              <w:widowControl/>
              <w:jc w:val="center"/>
              <w:rPr>
                <w:rFonts w:ascii="宋体" w:hAnsi="宋体"/>
                <w:kern w:val="0"/>
                <w:szCs w:val="21"/>
              </w:rPr>
            </w:pPr>
            <w:r>
              <w:rPr>
                <w:rFonts w:ascii="宋体" w:hAnsi="宋体"/>
                <w:kern w:val="0"/>
                <w:szCs w:val="21"/>
              </w:rPr>
              <w:t>40</w:t>
            </w:r>
          </w:p>
        </w:tc>
        <w:tc>
          <w:tcPr>
            <w:tcW w:w="5516" w:type="dxa"/>
            <w:shd w:val="clear" w:color="auto" w:fill="auto"/>
            <w:vAlign w:val="center"/>
          </w:tcPr>
          <w:p w14:paraId="136CF8A2">
            <w:pPr>
              <w:widowControl/>
              <w:jc w:val="left"/>
              <w:rPr>
                <w:rFonts w:ascii="宋体" w:hAnsi="宋体" w:cs="宋体"/>
                <w:kern w:val="0"/>
                <w:szCs w:val="21"/>
              </w:rPr>
            </w:pPr>
            <w:r>
              <w:rPr>
                <w:rFonts w:hint="eastAsia" w:ascii="宋体" w:hAnsi="宋体" w:cs="宋体"/>
                <w:kern w:val="0"/>
                <w:szCs w:val="21"/>
              </w:rPr>
              <w:t>中国海关贸易数据库-CCTD</w:t>
            </w:r>
          </w:p>
        </w:tc>
      </w:tr>
      <w:tr w14:paraId="73AB6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03ABF296">
            <w:pPr>
              <w:widowControl/>
              <w:jc w:val="center"/>
              <w:rPr>
                <w:rFonts w:ascii="宋体" w:hAnsi="宋体"/>
                <w:kern w:val="0"/>
                <w:szCs w:val="21"/>
              </w:rPr>
            </w:pPr>
            <w:r>
              <w:rPr>
                <w:rFonts w:ascii="宋体" w:hAnsi="宋体"/>
                <w:kern w:val="0"/>
                <w:szCs w:val="21"/>
              </w:rPr>
              <w:t>41</w:t>
            </w:r>
          </w:p>
        </w:tc>
        <w:tc>
          <w:tcPr>
            <w:tcW w:w="5516" w:type="dxa"/>
            <w:shd w:val="clear" w:color="auto" w:fill="auto"/>
            <w:vAlign w:val="center"/>
          </w:tcPr>
          <w:p w14:paraId="4D1F3DC2">
            <w:pPr>
              <w:widowControl/>
              <w:jc w:val="left"/>
              <w:rPr>
                <w:rFonts w:ascii="宋体" w:hAnsi="宋体" w:cs="宋体"/>
                <w:kern w:val="0"/>
                <w:szCs w:val="21"/>
              </w:rPr>
            </w:pPr>
            <w:r>
              <w:rPr>
                <w:rFonts w:hint="eastAsia" w:ascii="宋体" w:hAnsi="宋体" w:cs="宋体"/>
                <w:kern w:val="0"/>
                <w:szCs w:val="21"/>
              </w:rPr>
              <w:t>中国环境统计数据库-ENVS</w:t>
            </w:r>
          </w:p>
        </w:tc>
      </w:tr>
      <w:tr w14:paraId="1FFA9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5" w:type="dxa"/>
            <w:shd w:val="clear" w:color="auto" w:fill="auto"/>
            <w:vAlign w:val="center"/>
          </w:tcPr>
          <w:p w14:paraId="75C0C10C">
            <w:pPr>
              <w:widowControl/>
              <w:jc w:val="center"/>
              <w:rPr>
                <w:rFonts w:ascii="宋体" w:hAnsi="宋体"/>
                <w:kern w:val="0"/>
                <w:szCs w:val="21"/>
              </w:rPr>
            </w:pPr>
            <w:r>
              <w:rPr>
                <w:rFonts w:hint="eastAsia" w:ascii="宋体" w:hAnsi="宋体"/>
                <w:kern w:val="0"/>
                <w:szCs w:val="21"/>
              </w:rPr>
              <w:t>合计</w:t>
            </w:r>
          </w:p>
        </w:tc>
        <w:tc>
          <w:tcPr>
            <w:tcW w:w="5516" w:type="dxa"/>
            <w:shd w:val="clear" w:color="auto" w:fill="auto"/>
            <w:vAlign w:val="center"/>
          </w:tcPr>
          <w:p w14:paraId="645E9D36">
            <w:pPr>
              <w:widowControl/>
              <w:jc w:val="left"/>
              <w:rPr>
                <w:rFonts w:ascii="宋体" w:hAnsi="宋体" w:cs="宋体"/>
                <w:kern w:val="0"/>
                <w:szCs w:val="21"/>
              </w:rPr>
            </w:pPr>
            <w:r>
              <w:rPr>
                <w:rFonts w:hint="eastAsia" w:ascii="宋体" w:hAnsi="宋体" w:cs="宋体"/>
                <w:kern w:val="0"/>
                <w:szCs w:val="21"/>
              </w:rPr>
              <w:t>41个特色库</w:t>
            </w:r>
          </w:p>
        </w:tc>
      </w:tr>
    </w:tbl>
    <w:p w14:paraId="6CFD6DFE">
      <w:pPr>
        <w:rPr>
          <w:rFonts w:ascii="宋体" w:hAnsi="宋体"/>
          <w:b/>
          <w:szCs w:val="21"/>
        </w:rPr>
      </w:pPr>
      <w:r>
        <w:rPr>
          <w:rFonts w:hint="eastAsia" w:ascii="宋体" w:hAnsi="宋体"/>
          <w:b/>
          <w:szCs w:val="21"/>
        </w:rPr>
        <w:t xml:space="preserve">                        </w:t>
      </w:r>
      <w:r>
        <w:rPr>
          <w:rFonts w:ascii="宋体" w:hAnsi="宋体"/>
          <w:b/>
          <w:szCs w:val="21"/>
        </w:rPr>
        <w:t xml:space="preserve">        </w:t>
      </w:r>
    </w:p>
    <w:p w14:paraId="7B86D1B1">
      <w:pPr>
        <w:ind w:firstLine="4006" w:firstLineChars="1900"/>
        <w:rPr>
          <w:rFonts w:ascii="宋体" w:hAnsi="宋体"/>
          <w:b/>
          <w:szCs w:val="21"/>
        </w:rPr>
      </w:pPr>
      <w:r>
        <w:rPr>
          <w:rFonts w:hint="eastAsia" w:ascii="宋体" w:hAnsi="宋体"/>
          <w:b/>
          <w:szCs w:val="21"/>
        </w:rPr>
        <w:t xml:space="preserve">基础数据库 </w:t>
      </w:r>
    </w:p>
    <w:tbl>
      <w:tblPr>
        <w:tblStyle w:val="9"/>
        <w:tblpPr w:leftFromText="180" w:rightFromText="180" w:vertAnchor="text" w:horzAnchor="page" w:tblpXSpec="center" w:tblpY="301"/>
        <w:tblOverlap w:val="never"/>
        <w:tblW w:w="70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253"/>
        <w:gridCol w:w="3685"/>
        <w:gridCol w:w="2145"/>
      </w:tblGrid>
      <w:tr w14:paraId="1435C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4F81BD" w:themeFill="accent1"/>
            <w:vAlign w:val="center"/>
          </w:tcPr>
          <w:p w14:paraId="67C7040F">
            <w:pPr>
              <w:autoSpaceDE w:val="0"/>
              <w:autoSpaceDN w:val="0"/>
              <w:adjustRightInd w:val="0"/>
              <w:jc w:val="center"/>
              <w:rPr>
                <w:rFonts w:cs="宋体" w:asciiTheme="majorEastAsia" w:hAnsiTheme="majorEastAsia" w:eastAsiaTheme="majorEastAsia"/>
                <w:b/>
                <w:color w:val="000000" w:themeColor="text1"/>
                <w:kern w:val="0"/>
                <w:szCs w:val="21"/>
                <w:lang w:val="zh-CN"/>
                <w14:textFill>
                  <w14:solidFill>
                    <w14:schemeClr w14:val="tx1"/>
                  </w14:solidFill>
                </w14:textFill>
              </w:rPr>
            </w:pPr>
            <w:r>
              <w:rPr>
                <w:rFonts w:hint="eastAsia" w:cs="宋体" w:asciiTheme="majorEastAsia" w:hAnsiTheme="majorEastAsia" w:eastAsiaTheme="majorEastAsia"/>
                <w:b/>
                <w:color w:val="000000" w:themeColor="text1"/>
                <w:kern w:val="0"/>
                <w:szCs w:val="21"/>
                <w:lang w:val="zh-CN"/>
                <w14:textFill>
                  <w14:solidFill>
                    <w14:schemeClr w14:val="tx1"/>
                  </w14:solidFill>
                </w14:textFill>
              </w:rPr>
              <w:t>序号</w:t>
            </w:r>
          </w:p>
        </w:tc>
        <w:tc>
          <w:tcPr>
            <w:tcW w:w="3685" w:type="dxa"/>
            <w:shd w:val="clear" w:color="auto" w:fill="4F81BD" w:themeFill="accent1"/>
            <w:vAlign w:val="center"/>
          </w:tcPr>
          <w:p w14:paraId="37F26633">
            <w:pPr>
              <w:autoSpaceDE w:val="0"/>
              <w:autoSpaceDN w:val="0"/>
              <w:adjustRightInd w:val="0"/>
              <w:jc w:val="center"/>
              <w:rPr>
                <w:rFonts w:cs="宋体" w:asciiTheme="majorEastAsia" w:hAnsiTheme="majorEastAsia" w:eastAsiaTheme="majorEastAsia"/>
                <w:b/>
                <w:color w:val="000000" w:themeColor="text1"/>
                <w:kern w:val="0"/>
                <w:szCs w:val="21"/>
                <w:lang w:val="zh-CN"/>
                <w14:textFill>
                  <w14:solidFill>
                    <w14:schemeClr w14:val="tx1"/>
                  </w14:solidFill>
                </w14:textFill>
              </w:rPr>
            </w:pPr>
            <w:r>
              <w:rPr>
                <w:rFonts w:hint="eastAsia" w:cs="宋体" w:asciiTheme="majorEastAsia" w:hAnsiTheme="majorEastAsia" w:eastAsiaTheme="majorEastAsia"/>
                <w:b/>
                <w:color w:val="000000" w:themeColor="text1"/>
                <w:kern w:val="0"/>
                <w:szCs w:val="21"/>
                <w:lang w:val="zh-CN"/>
                <w14:textFill>
                  <w14:solidFill>
                    <w14:schemeClr w14:val="tx1"/>
                  </w14:solidFill>
                </w14:textFill>
              </w:rPr>
              <w:t>子库名称</w:t>
            </w:r>
          </w:p>
        </w:tc>
        <w:tc>
          <w:tcPr>
            <w:tcW w:w="2145" w:type="dxa"/>
            <w:shd w:val="clear" w:color="auto" w:fill="4F81BD" w:themeFill="accent1"/>
            <w:vAlign w:val="center"/>
          </w:tcPr>
          <w:p w14:paraId="4FF23C02">
            <w:pPr>
              <w:autoSpaceDE w:val="0"/>
              <w:autoSpaceDN w:val="0"/>
              <w:adjustRightInd w:val="0"/>
              <w:jc w:val="center"/>
              <w:rPr>
                <w:rFonts w:cs="宋体" w:asciiTheme="majorEastAsia" w:hAnsiTheme="majorEastAsia" w:eastAsiaTheme="majorEastAsia"/>
                <w:b/>
                <w:color w:val="000000" w:themeColor="text1"/>
                <w:kern w:val="0"/>
                <w:szCs w:val="21"/>
                <w:lang w:val="zh-CN"/>
                <w14:textFill>
                  <w14:solidFill>
                    <w14:schemeClr w14:val="tx1"/>
                  </w14:solidFill>
                </w14:textFill>
              </w:rPr>
            </w:pPr>
            <w:r>
              <w:rPr>
                <w:rFonts w:hint="eastAsia" w:cs="宋体" w:asciiTheme="majorEastAsia" w:hAnsiTheme="majorEastAsia" w:eastAsiaTheme="majorEastAsia"/>
                <w:b/>
                <w:color w:val="000000" w:themeColor="text1"/>
                <w:kern w:val="0"/>
                <w:szCs w:val="21"/>
                <w:lang w:val="zh-CN"/>
                <w14:textFill>
                  <w14:solidFill>
                    <w14:schemeClr w14:val="tx1"/>
                  </w14:solidFill>
                </w14:textFill>
              </w:rPr>
              <w:t>子库简称</w:t>
            </w:r>
          </w:p>
        </w:tc>
      </w:tr>
      <w:tr w14:paraId="2B6BD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07412D29">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w:t>
            </w:r>
          </w:p>
        </w:tc>
        <w:tc>
          <w:tcPr>
            <w:tcW w:w="3685" w:type="dxa"/>
            <w:shd w:val="clear" w:color="auto" w:fill="FFFFFF"/>
            <w:vAlign w:val="center"/>
          </w:tcPr>
          <w:p w14:paraId="18BAC04D">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中国上市公司股价数据库</w:t>
            </w:r>
          </w:p>
        </w:tc>
        <w:tc>
          <w:tcPr>
            <w:tcW w:w="2145" w:type="dxa"/>
            <w:shd w:val="clear" w:color="auto" w:fill="FFFFFF"/>
            <w:vAlign w:val="center"/>
          </w:tcPr>
          <w:p w14:paraId="66467759">
            <w:pPr>
              <w:widowControl/>
              <w:jc w:val="center"/>
              <w:textAlignment w:val="center"/>
              <w:rPr>
                <w:rFonts w:cs="宋体" w:asciiTheme="majorEastAsia" w:hAnsiTheme="majorEastAsia" w:eastAsiaTheme="majorEastAsia"/>
                <w:color w:val="000000" w:themeColor="text1"/>
                <w:kern w:val="0"/>
                <w:szCs w:val="21"/>
                <w:lang w:bidi="ar"/>
                <w14:textFill>
                  <w14:solidFill>
                    <w14:schemeClr w14:val="tx1"/>
                  </w14:solidFill>
                </w14:textFill>
              </w:rPr>
            </w:pPr>
            <w:r>
              <w:rPr>
                <w:rFonts w:hint="eastAsia" w:cs="宋体" w:asciiTheme="majorEastAsia" w:hAnsiTheme="majorEastAsia" w:eastAsiaTheme="majorEastAsia"/>
                <w:color w:val="000000"/>
                <w:kern w:val="0"/>
                <w:szCs w:val="21"/>
                <w:lang w:bidi="ar"/>
              </w:rPr>
              <w:t>CNSP</w:t>
            </w:r>
          </w:p>
        </w:tc>
      </w:tr>
      <w:tr w14:paraId="190E7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005AA1B6">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w:t>
            </w:r>
          </w:p>
        </w:tc>
        <w:tc>
          <w:tcPr>
            <w:tcW w:w="3685" w:type="dxa"/>
            <w:shd w:val="clear" w:color="auto" w:fill="FFFFFF"/>
            <w:vAlign w:val="center"/>
          </w:tcPr>
          <w:p w14:paraId="2AF3F78B">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中国股票异常交易数据库</w:t>
            </w:r>
          </w:p>
        </w:tc>
        <w:tc>
          <w:tcPr>
            <w:tcW w:w="2145" w:type="dxa"/>
            <w:shd w:val="clear" w:color="auto" w:fill="FFFFFF"/>
            <w:vAlign w:val="center"/>
          </w:tcPr>
          <w:p w14:paraId="04AD758E">
            <w:pPr>
              <w:widowControl/>
              <w:jc w:val="center"/>
              <w:textAlignment w:val="center"/>
              <w:rPr>
                <w:rFonts w:cs="宋体" w:asciiTheme="majorEastAsia" w:hAnsiTheme="majorEastAsia" w:eastAsiaTheme="majorEastAsia"/>
                <w:color w:val="000000" w:themeColor="text1"/>
                <w:kern w:val="0"/>
                <w:szCs w:val="21"/>
                <w:lang w:bidi="ar"/>
                <w14:textFill>
                  <w14:solidFill>
                    <w14:schemeClr w14:val="tx1"/>
                  </w14:solidFill>
                </w14:textFill>
              </w:rPr>
            </w:pPr>
            <w:r>
              <w:rPr>
                <w:rFonts w:hint="eastAsia" w:cs="宋体" w:asciiTheme="majorEastAsia" w:hAnsiTheme="majorEastAsia" w:eastAsiaTheme="majorEastAsia"/>
                <w:color w:val="000000"/>
                <w:kern w:val="0"/>
                <w:szCs w:val="21"/>
                <w:lang w:bidi="ar"/>
              </w:rPr>
              <w:t>CAST</w:t>
            </w:r>
          </w:p>
        </w:tc>
      </w:tr>
      <w:tr w14:paraId="4963A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698C49EB">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3</w:t>
            </w:r>
          </w:p>
        </w:tc>
        <w:tc>
          <w:tcPr>
            <w:tcW w:w="3685" w:type="dxa"/>
            <w:shd w:val="clear" w:color="auto" w:fill="FFFFFF"/>
            <w:vAlign w:val="center"/>
          </w:tcPr>
          <w:p w14:paraId="751BB30D">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中国特殊处理股票数据库</w:t>
            </w:r>
          </w:p>
        </w:tc>
        <w:tc>
          <w:tcPr>
            <w:tcW w:w="2145" w:type="dxa"/>
            <w:shd w:val="clear" w:color="auto" w:fill="FFFFFF"/>
            <w:vAlign w:val="center"/>
          </w:tcPr>
          <w:p w14:paraId="0F743ED9">
            <w:pPr>
              <w:widowControl/>
              <w:jc w:val="center"/>
              <w:textAlignment w:val="center"/>
              <w:rPr>
                <w:rFonts w:cs="宋体" w:asciiTheme="majorEastAsia" w:hAnsiTheme="majorEastAsia" w:eastAsiaTheme="majorEastAsia"/>
                <w:color w:val="000000" w:themeColor="text1"/>
                <w:kern w:val="0"/>
                <w:szCs w:val="21"/>
                <w:lang w:bidi="ar"/>
                <w14:textFill>
                  <w14:solidFill>
                    <w14:schemeClr w14:val="tx1"/>
                  </w14:solidFill>
                </w14:textFill>
              </w:rPr>
            </w:pPr>
            <w:r>
              <w:rPr>
                <w:rFonts w:hint="eastAsia" w:cs="宋体" w:asciiTheme="majorEastAsia" w:hAnsiTheme="majorEastAsia" w:eastAsiaTheme="majorEastAsia"/>
                <w:color w:val="000000"/>
                <w:kern w:val="0"/>
                <w:szCs w:val="21"/>
                <w:lang w:bidi="ar"/>
              </w:rPr>
              <w:t>CSTS</w:t>
            </w:r>
          </w:p>
        </w:tc>
      </w:tr>
      <w:tr w14:paraId="03251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058991EB">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4</w:t>
            </w:r>
          </w:p>
        </w:tc>
        <w:tc>
          <w:tcPr>
            <w:tcW w:w="3685" w:type="dxa"/>
            <w:shd w:val="clear" w:color="auto" w:fill="FFFFFF"/>
            <w:vAlign w:val="center"/>
          </w:tcPr>
          <w:p w14:paraId="2C0F3F1E">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中国融资融券数据库</w:t>
            </w:r>
          </w:p>
        </w:tc>
        <w:tc>
          <w:tcPr>
            <w:tcW w:w="2145" w:type="dxa"/>
            <w:shd w:val="clear" w:color="auto" w:fill="FFFFFF"/>
            <w:vAlign w:val="center"/>
          </w:tcPr>
          <w:p w14:paraId="645CF345">
            <w:pPr>
              <w:widowControl/>
              <w:jc w:val="center"/>
              <w:textAlignment w:val="center"/>
              <w:rPr>
                <w:rFonts w:cs="宋体" w:asciiTheme="majorEastAsia" w:hAnsiTheme="majorEastAsia" w:eastAsiaTheme="majorEastAsia"/>
                <w:color w:val="000000" w:themeColor="text1"/>
                <w:kern w:val="0"/>
                <w:szCs w:val="21"/>
                <w:lang w:bidi="ar"/>
                <w14:textFill>
                  <w14:solidFill>
                    <w14:schemeClr w14:val="tx1"/>
                  </w14:solidFill>
                </w14:textFill>
              </w:rPr>
            </w:pPr>
            <w:r>
              <w:rPr>
                <w:rFonts w:hint="eastAsia" w:cs="宋体" w:asciiTheme="majorEastAsia" w:hAnsiTheme="majorEastAsia" w:eastAsiaTheme="majorEastAsia"/>
                <w:color w:val="000000"/>
                <w:kern w:val="0"/>
                <w:szCs w:val="21"/>
                <w:lang w:bidi="ar"/>
              </w:rPr>
              <w:t>CMTD</w:t>
            </w:r>
          </w:p>
        </w:tc>
      </w:tr>
      <w:tr w14:paraId="3AA0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3FEC2643">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5</w:t>
            </w:r>
          </w:p>
        </w:tc>
        <w:tc>
          <w:tcPr>
            <w:tcW w:w="3685" w:type="dxa"/>
            <w:shd w:val="clear" w:color="auto" w:fill="FFFFFF"/>
            <w:vAlign w:val="center"/>
          </w:tcPr>
          <w:p w14:paraId="76D6DAC6">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中国公司IPO综合数据库</w:t>
            </w:r>
          </w:p>
        </w:tc>
        <w:tc>
          <w:tcPr>
            <w:tcW w:w="2145" w:type="dxa"/>
            <w:shd w:val="clear" w:color="auto" w:fill="FFFFFF"/>
            <w:vAlign w:val="center"/>
          </w:tcPr>
          <w:p w14:paraId="10E7796E">
            <w:pPr>
              <w:widowControl/>
              <w:jc w:val="center"/>
              <w:textAlignment w:val="center"/>
              <w:rPr>
                <w:rFonts w:cs="宋体" w:asciiTheme="majorEastAsia" w:hAnsiTheme="majorEastAsia" w:eastAsiaTheme="majorEastAsia"/>
                <w:color w:val="000000" w:themeColor="text1"/>
                <w:kern w:val="0"/>
                <w:szCs w:val="21"/>
                <w:lang w:bidi="ar"/>
                <w14:textFill>
                  <w14:solidFill>
                    <w14:schemeClr w14:val="tx1"/>
                  </w14:solidFill>
                </w14:textFill>
              </w:rPr>
            </w:pPr>
            <w:r>
              <w:rPr>
                <w:rFonts w:hint="eastAsia" w:cs="宋体" w:asciiTheme="majorEastAsia" w:hAnsiTheme="majorEastAsia" w:eastAsiaTheme="majorEastAsia"/>
                <w:color w:val="000000"/>
                <w:kern w:val="0"/>
                <w:szCs w:val="21"/>
                <w:lang w:bidi="ar"/>
              </w:rPr>
              <w:t>CIPO</w:t>
            </w:r>
          </w:p>
        </w:tc>
      </w:tr>
      <w:tr w14:paraId="67C3E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17ECE6EA">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6</w:t>
            </w:r>
          </w:p>
        </w:tc>
        <w:tc>
          <w:tcPr>
            <w:tcW w:w="3685" w:type="dxa"/>
            <w:shd w:val="clear" w:color="auto" w:fill="FFFFFF"/>
            <w:vAlign w:val="center"/>
          </w:tcPr>
          <w:p w14:paraId="49A76A85">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上市公司增发与配股数据库</w:t>
            </w:r>
          </w:p>
        </w:tc>
        <w:tc>
          <w:tcPr>
            <w:tcW w:w="2145" w:type="dxa"/>
            <w:shd w:val="clear" w:color="auto" w:fill="FFFFFF"/>
            <w:vAlign w:val="center"/>
          </w:tcPr>
          <w:p w14:paraId="541D5D30">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CSEO</w:t>
            </w:r>
          </w:p>
        </w:tc>
      </w:tr>
      <w:tr w14:paraId="5BC5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253" w:type="dxa"/>
            <w:shd w:val="clear" w:color="auto" w:fill="FFFFFF"/>
            <w:vAlign w:val="center"/>
          </w:tcPr>
          <w:p w14:paraId="1CD4F84F">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7</w:t>
            </w:r>
          </w:p>
        </w:tc>
        <w:tc>
          <w:tcPr>
            <w:tcW w:w="3685" w:type="dxa"/>
            <w:shd w:val="clear" w:color="auto" w:fill="FFFFFF"/>
            <w:vAlign w:val="center"/>
          </w:tcPr>
          <w:p w14:paraId="736AD8DC">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上市公司业绩预告数据库</w:t>
            </w:r>
          </w:p>
        </w:tc>
        <w:tc>
          <w:tcPr>
            <w:tcW w:w="2145" w:type="dxa"/>
            <w:shd w:val="clear" w:color="auto" w:fill="FFFFFF"/>
            <w:vAlign w:val="center"/>
          </w:tcPr>
          <w:p w14:paraId="79015284">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CEPD</w:t>
            </w:r>
          </w:p>
        </w:tc>
      </w:tr>
      <w:tr w14:paraId="2DF26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5A0880EC">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8</w:t>
            </w:r>
          </w:p>
        </w:tc>
        <w:tc>
          <w:tcPr>
            <w:tcW w:w="3685" w:type="dxa"/>
            <w:shd w:val="clear" w:color="auto" w:fill="FFFFFF"/>
            <w:vAlign w:val="center"/>
          </w:tcPr>
          <w:p w14:paraId="01E5ADD0">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财务报告披露时间数据库</w:t>
            </w:r>
          </w:p>
        </w:tc>
        <w:tc>
          <w:tcPr>
            <w:tcW w:w="2145" w:type="dxa"/>
            <w:shd w:val="clear" w:color="auto" w:fill="FFFFFF"/>
            <w:vAlign w:val="center"/>
          </w:tcPr>
          <w:p w14:paraId="0734F327">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FRDT</w:t>
            </w:r>
          </w:p>
        </w:tc>
      </w:tr>
      <w:tr w14:paraId="251C3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33299FA1">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9</w:t>
            </w:r>
          </w:p>
        </w:tc>
        <w:tc>
          <w:tcPr>
            <w:tcW w:w="3685" w:type="dxa"/>
            <w:shd w:val="clear" w:color="auto" w:fill="FFFFFF"/>
            <w:vAlign w:val="center"/>
          </w:tcPr>
          <w:p w14:paraId="5C0D65C4">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中国公司财务报表数据库</w:t>
            </w:r>
          </w:p>
        </w:tc>
        <w:tc>
          <w:tcPr>
            <w:tcW w:w="2145" w:type="dxa"/>
            <w:shd w:val="clear" w:color="auto" w:fill="FFFFFF"/>
            <w:vAlign w:val="center"/>
          </w:tcPr>
          <w:p w14:paraId="72ADF3D6">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CNFS</w:t>
            </w:r>
          </w:p>
        </w:tc>
      </w:tr>
      <w:tr w14:paraId="0D5D6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029304D8">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10</w:t>
            </w:r>
          </w:p>
        </w:tc>
        <w:tc>
          <w:tcPr>
            <w:tcW w:w="3685" w:type="dxa"/>
            <w:shd w:val="clear" w:color="auto" w:fill="FFFFFF"/>
            <w:vAlign w:val="center"/>
          </w:tcPr>
          <w:p w14:paraId="5659A509">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上市公司财务报表附注数据库</w:t>
            </w:r>
          </w:p>
        </w:tc>
        <w:tc>
          <w:tcPr>
            <w:tcW w:w="2145" w:type="dxa"/>
            <w:shd w:val="clear" w:color="auto" w:fill="FFFFFF"/>
            <w:vAlign w:val="center"/>
          </w:tcPr>
          <w:p w14:paraId="611789C1">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NFSD</w:t>
            </w:r>
          </w:p>
        </w:tc>
      </w:tr>
      <w:tr w14:paraId="1B99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1A19E803">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11</w:t>
            </w:r>
          </w:p>
        </w:tc>
        <w:tc>
          <w:tcPr>
            <w:tcW w:w="3685" w:type="dxa"/>
            <w:shd w:val="clear" w:color="auto" w:fill="FFFFFF"/>
            <w:vAlign w:val="center"/>
          </w:tcPr>
          <w:p w14:paraId="3608E1CE">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上市公司财务指标数据库</w:t>
            </w:r>
          </w:p>
        </w:tc>
        <w:tc>
          <w:tcPr>
            <w:tcW w:w="2145" w:type="dxa"/>
            <w:shd w:val="clear" w:color="auto" w:fill="FFFFFF"/>
            <w:vAlign w:val="center"/>
          </w:tcPr>
          <w:p w14:paraId="1B13FD6C">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CNFI</w:t>
            </w:r>
          </w:p>
        </w:tc>
      </w:tr>
      <w:tr w14:paraId="6E1B4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3360086F">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12</w:t>
            </w:r>
          </w:p>
        </w:tc>
        <w:tc>
          <w:tcPr>
            <w:tcW w:w="3685" w:type="dxa"/>
            <w:shd w:val="clear" w:color="auto" w:fill="FFFFFF"/>
            <w:vAlign w:val="center"/>
          </w:tcPr>
          <w:p w14:paraId="301D6BF0">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中国上市公司盈利预测数据库</w:t>
            </w:r>
          </w:p>
        </w:tc>
        <w:tc>
          <w:tcPr>
            <w:tcW w:w="2145" w:type="dxa"/>
            <w:shd w:val="clear" w:color="auto" w:fill="FFFFFF"/>
            <w:vAlign w:val="center"/>
          </w:tcPr>
          <w:p w14:paraId="2C9005FE">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CEFD</w:t>
            </w:r>
          </w:p>
        </w:tc>
      </w:tr>
      <w:tr w14:paraId="210F5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4B6B9990">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13</w:t>
            </w:r>
          </w:p>
        </w:tc>
        <w:tc>
          <w:tcPr>
            <w:tcW w:w="3685" w:type="dxa"/>
            <w:shd w:val="clear" w:color="auto" w:fill="FFFFFF"/>
            <w:vAlign w:val="center"/>
          </w:tcPr>
          <w:p w14:paraId="090C208D">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上市公司基本信息数据库</w:t>
            </w:r>
          </w:p>
        </w:tc>
        <w:tc>
          <w:tcPr>
            <w:tcW w:w="2145" w:type="dxa"/>
            <w:shd w:val="clear" w:color="auto" w:fill="FFFFFF"/>
            <w:vAlign w:val="center"/>
          </w:tcPr>
          <w:p w14:paraId="7F077E7B">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CBID</w:t>
            </w:r>
          </w:p>
        </w:tc>
      </w:tr>
      <w:tr w14:paraId="33987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253" w:type="dxa"/>
            <w:shd w:val="clear" w:color="auto" w:fill="FFFFFF"/>
            <w:vAlign w:val="center"/>
          </w:tcPr>
          <w:p w14:paraId="479822D0">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14</w:t>
            </w:r>
          </w:p>
        </w:tc>
        <w:tc>
          <w:tcPr>
            <w:tcW w:w="3685" w:type="dxa"/>
            <w:shd w:val="clear" w:color="auto" w:fill="FFFFFF"/>
            <w:vAlign w:val="center"/>
          </w:tcPr>
          <w:p w14:paraId="2D5CE29E">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中国公司治理数据库</w:t>
            </w:r>
          </w:p>
        </w:tc>
        <w:tc>
          <w:tcPr>
            <w:tcW w:w="2145" w:type="dxa"/>
            <w:shd w:val="clear" w:color="auto" w:fill="FFFFFF"/>
            <w:vAlign w:val="center"/>
          </w:tcPr>
          <w:p w14:paraId="2FA91C8F">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CCGD</w:t>
            </w:r>
          </w:p>
        </w:tc>
      </w:tr>
      <w:tr w14:paraId="3E57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2291F3EB">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15</w:t>
            </w:r>
          </w:p>
        </w:tc>
        <w:tc>
          <w:tcPr>
            <w:tcW w:w="3685" w:type="dxa"/>
            <w:shd w:val="clear" w:color="auto" w:fill="FFFFFF"/>
            <w:vAlign w:val="center"/>
          </w:tcPr>
          <w:p w14:paraId="2D026E5C">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审计意见与费用数据库</w:t>
            </w:r>
          </w:p>
        </w:tc>
        <w:tc>
          <w:tcPr>
            <w:tcW w:w="2145" w:type="dxa"/>
            <w:shd w:val="clear" w:color="auto" w:fill="FFFFFF"/>
            <w:vAlign w:val="center"/>
          </w:tcPr>
          <w:p w14:paraId="78F6916E">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AUDIT</w:t>
            </w:r>
          </w:p>
        </w:tc>
      </w:tr>
      <w:tr w14:paraId="1033F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33CB1A5B">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16</w:t>
            </w:r>
          </w:p>
        </w:tc>
        <w:tc>
          <w:tcPr>
            <w:tcW w:w="3685" w:type="dxa"/>
            <w:shd w:val="clear" w:color="auto" w:fill="FFFFFF"/>
            <w:vAlign w:val="center"/>
          </w:tcPr>
          <w:p w14:paraId="0D10A0A8">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上市公司管理层变更数据库</w:t>
            </w:r>
          </w:p>
        </w:tc>
        <w:tc>
          <w:tcPr>
            <w:tcW w:w="2145" w:type="dxa"/>
            <w:shd w:val="clear" w:color="auto" w:fill="FFFFFF"/>
            <w:vAlign w:val="center"/>
          </w:tcPr>
          <w:p w14:paraId="23771008">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MTDB</w:t>
            </w:r>
          </w:p>
        </w:tc>
      </w:tr>
      <w:tr w14:paraId="5A92A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36DB4E3C">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17</w:t>
            </w:r>
          </w:p>
        </w:tc>
        <w:tc>
          <w:tcPr>
            <w:tcW w:w="3685" w:type="dxa"/>
            <w:shd w:val="clear" w:color="auto" w:fill="FFFFFF"/>
            <w:vAlign w:val="center"/>
          </w:tcPr>
          <w:p w14:paraId="7302CD4B">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公司与高管违规处罚数据库</w:t>
            </w:r>
          </w:p>
        </w:tc>
        <w:tc>
          <w:tcPr>
            <w:tcW w:w="2145" w:type="dxa"/>
            <w:shd w:val="clear" w:color="auto" w:fill="FFFFFF"/>
            <w:vAlign w:val="center"/>
          </w:tcPr>
          <w:p w14:paraId="560E0725">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VPCE</w:t>
            </w:r>
          </w:p>
        </w:tc>
      </w:tr>
      <w:tr w14:paraId="68A28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6018B1E6">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18</w:t>
            </w:r>
          </w:p>
        </w:tc>
        <w:tc>
          <w:tcPr>
            <w:tcW w:w="3685" w:type="dxa"/>
            <w:shd w:val="clear" w:color="auto" w:fill="FFFFFF"/>
            <w:vAlign w:val="center"/>
          </w:tcPr>
          <w:p w14:paraId="7BF541B0">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高管薪酬与激励数据库</w:t>
            </w:r>
          </w:p>
        </w:tc>
        <w:tc>
          <w:tcPr>
            <w:tcW w:w="2145" w:type="dxa"/>
            <w:shd w:val="clear" w:color="auto" w:fill="FFFFFF"/>
            <w:vAlign w:val="center"/>
          </w:tcPr>
          <w:p w14:paraId="15FEBD33">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ECEI</w:t>
            </w:r>
          </w:p>
        </w:tc>
      </w:tr>
      <w:tr w14:paraId="1059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5B4F2D7C">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19</w:t>
            </w:r>
          </w:p>
        </w:tc>
        <w:tc>
          <w:tcPr>
            <w:tcW w:w="3685" w:type="dxa"/>
            <w:shd w:val="clear" w:color="auto" w:fill="FFFFFF"/>
            <w:vAlign w:val="center"/>
          </w:tcPr>
          <w:p w14:paraId="72138518">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中国上市公司关联交易数据库</w:t>
            </w:r>
          </w:p>
        </w:tc>
        <w:tc>
          <w:tcPr>
            <w:tcW w:w="2145" w:type="dxa"/>
            <w:shd w:val="clear" w:color="auto" w:fill="FFFFFF"/>
            <w:vAlign w:val="center"/>
          </w:tcPr>
          <w:p w14:paraId="0D2FEEE7">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CRTD</w:t>
            </w:r>
          </w:p>
        </w:tc>
      </w:tr>
      <w:tr w14:paraId="3E3C9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253" w:type="dxa"/>
            <w:shd w:val="clear" w:color="auto" w:fill="FFFFFF"/>
            <w:vAlign w:val="center"/>
          </w:tcPr>
          <w:p w14:paraId="44D83E1E">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20</w:t>
            </w:r>
          </w:p>
        </w:tc>
        <w:tc>
          <w:tcPr>
            <w:tcW w:w="3685" w:type="dxa"/>
            <w:shd w:val="clear" w:color="auto" w:fill="FFFFFF"/>
            <w:vAlign w:val="center"/>
          </w:tcPr>
          <w:p w14:paraId="0D782568">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中国公司股权研究数据库</w:t>
            </w:r>
          </w:p>
        </w:tc>
        <w:tc>
          <w:tcPr>
            <w:tcW w:w="2145" w:type="dxa"/>
            <w:shd w:val="clear" w:color="auto" w:fill="FFFFFF"/>
            <w:vAlign w:val="center"/>
          </w:tcPr>
          <w:p w14:paraId="0E069934">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CERD</w:t>
            </w:r>
          </w:p>
        </w:tc>
      </w:tr>
      <w:tr w14:paraId="2F9C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21DE62A4">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21</w:t>
            </w:r>
          </w:p>
        </w:tc>
        <w:tc>
          <w:tcPr>
            <w:tcW w:w="3685" w:type="dxa"/>
            <w:shd w:val="clear" w:color="auto" w:fill="FFFFFF"/>
            <w:vAlign w:val="center"/>
          </w:tcPr>
          <w:p w14:paraId="74A8EDDB">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机构投资者持股研究数据库</w:t>
            </w:r>
          </w:p>
        </w:tc>
        <w:tc>
          <w:tcPr>
            <w:tcW w:w="2145" w:type="dxa"/>
            <w:shd w:val="clear" w:color="auto" w:fill="FFFFFF"/>
            <w:vAlign w:val="center"/>
          </w:tcPr>
          <w:p w14:paraId="130F803F">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IORD</w:t>
            </w:r>
          </w:p>
        </w:tc>
      </w:tr>
      <w:tr w14:paraId="78CD2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5306A6F1">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22</w:t>
            </w:r>
          </w:p>
        </w:tc>
        <w:tc>
          <w:tcPr>
            <w:tcW w:w="3685" w:type="dxa"/>
            <w:shd w:val="clear" w:color="auto" w:fill="FFFFFF"/>
            <w:vAlign w:val="center"/>
          </w:tcPr>
          <w:p w14:paraId="46376DA7">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中国公司股利分红数据库</w:t>
            </w:r>
          </w:p>
        </w:tc>
        <w:tc>
          <w:tcPr>
            <w:tcW w:w="2145" w:type="dxa"/>
            <w:shd w:val="clear" w:color="auto" w:fill="FFFFFF"/>
            <w:vAlign w:val="center"/>
          </w:tcPr>
          <w:p w14:paraId="5D760461">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CCDD</w:t>
            </w:r>
          </w:p>
        </w:tc>
      </w:tr>
      <w:tr w14:paraId="7F305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253" w:type="dxa"/>
            <w:shd w:val="clear" w:color="auto" w:fill="FFFFFF"/>
            <w:vAlign w:val="center"/>
          </w:tcPr>
          <w:p w14:paraId="3171A61B">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23</w:t>
            </w:r>
          </w:p>
        </w:tc>
        <w:tc>
          <w:tcPr>
            <w:tcW w:w="3685" w:type="dxa"/>
            <w:shd w:val="clear" w:color="auto" w:fill="FFFFFF"/>
            <w:vAlign w:val="center"/>
          </w:tcPr>
          <w:p w14:paraId="00C98EA2">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中国上市公司诉讼仲裁数据库</w:t>
            </w:r>
          </w:p>
        </w:tc>
        <w:tc>
          <w:tcPr>
            <w:tcW w:w="2145" w:type="dxa"/>
            <w:shd w:val="clear" w:color="auto" w:fill="FFFFFF"/>
            <w:vAlign w:val="center"/>
          </w:tcPr>
          <w:p w14:paraId="40648A3C">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CLAD</w:t>
            </w:r>
          </w:p>
        </w:tc>
      </w:tr>
      <w:tr w14:paraId="780E1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5292D370">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24</w:t>
            </w:r>
          </w:p>
        </w:tc>
        <w:tc>
          <w:tcPr>
            <w:tcW w:w="3685" w:type="dxa"/>
            <w:shd w:val="clear" w:color="auto" w:fill="FFFFFF"/>
            <w:vAlign w:val="center"/>
          </w:tcPr>
          <w:p w14:paraId="64028A44">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中国上市公司内部人交易数据库</w:t>
            </w:r>
          </w:p>
        </w:tc>
        <w:tc>
          <w:tcPr>
            <w:tcW w:w="2145" w:type="dxa"/>
            <w:shd w:val="clear" w:color="auto" w:fill="FFFFFF"/>
            <w:vAlign w:val="center"/>
          </w:tcPr>
          <w:p w14:paraId="6EF8199B">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CITD</w:t>
            </w:r>
          </w:p>
        </w:tc>
      </w:tr>
      <w:tr w14:paraId="63974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05B00705">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25</w:t>
            </w:r>
          </w:p>
        </w:tc>
        <w:tc>
          <w:tcPr>
            <w:tcW w:w="3685" w:type="dxa"/>
            <w:shd w:val="clear" w:color="auto" w:fill="FFFFFF"/>
            <w:vAlign w:val="center"/>
          </w:tcPr>
          <w:p w14:paraId="6260F1E8">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中国宏观经济研究数据库（年度）</w:t>
            </w:r>
          </w:p>
        </w:tc>
        <w:tc>
          <w:tcPr>
            <w:tcW w:w="2145" w:type="dxa"/>
            <w:shd w:val="clear" w:color="auto" w:fill="FFFFFF"/>
            <w:vAlign w:val="center"/>
          </w:tcPr>
          <w:p w14:paraId="44CE5196">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MACRO</w:t>
            </w:r>
          </w:p>
        </w:tc>
      </w:tr>
      <w:tr w14:paraId="48A5E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494E0E8E">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26</w:t>
            </w:r>
          </w:p>
        </w:tc>
        <w:tc>
          <w:tcPr>
            <w:tcW w:w="3685" w:type="dxa"/>
            <w:shd w:val="clear" w:color="auto" w:fill="FFFFFF"/>
            <w:vAlign w:val="center"/>
          </w:tcPr>
          <w:p w14:paraId="08DC7A90">
            <w:pPr>
              <w:widowControl/>
              <w:jc w:val="left"/>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中国宏观经济研究数据库（季度）</w:t>
            </w:r>
          </w:p>
        </w:tc>
        <w:tc>
          <w:tcPr>
            <w:tcW w:w="2145" w:type="dxa"/>
            <w:shd w:val="clear" w:color="auto" w:fill="FFFFFF"/>
            <w:vAlign w:val="center"/>
          </w:tcPr>
          <w:p w14:paraId="1AFF9DC4">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MACRO</w:t>
            </w:r>
            <w:r>
              <w:rPr>
                <w:rFonts w:cs="宋体" w:asciiTheme="majorEastAsia" w:hAnsiTheme="majorEastAsia" w:eastAsiaTheme="majorEastAsia"/>
                <w:color w:val="000000"/>
                <w:kern w:val="0"/>
                <w:szCs w:val="21"/>
                <w:lang w:bidi="ar"/>
              </w:rPr>
              <w:t>Q</w:t>
            </w:r>
          </w:p>
        </w:tc>
      </w:tr>
      <w:tr w14:paraId="1D0D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2EB32422">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27</w:t>
            </w:r>
          </w:p>
        </w:tc>
        <w:tc>
          <w:tcPr>
            <w:tcW w:w="3685" w:type="dxa"/>
            <w:shd w:val="clear" w:color="auto" w:fill="FFFFFF"/>
            <w:vAlign w:val="center"/>
          </w:tcPr>
          <w:p w14:paraId="2A43CCB9">
            <w:pPr>
              <w:widowControl/>
              <w:jc w:val="left"/>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中国宏观经济研究数据库（月度）</w:t>
            </w:r>
          </w:p>
        </w:tc>
        <w:tc>
          <w:tcPr>
            <w:tcW w:w="2145" w:type="dxa"/>
            <w:shd w:val="clear" w:color="auto" w:fill="FFFFFF"/>
            <w:vAlign w:val="center"/>
          </w:tcPr>
          <w:p w14:paraId="259847B8">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MACRO</w:t>
            </w:r>
            <w:r>
              <w:rPr>
                <w:rFonts w:cs="宋体" w:asciiTheme="majorEastAsia" w:hAnsiTheme="majorEastAsia" w:eastAsiaTheme="majorEastAsia"/>
                <w:color w:val="000000"/>
                <w:kern w:val="0"/>
                <w:szCs w:val="21"/>
                <w:lang w:bidi="ar"/>
              </w:rPr>
              <w:t>M</w:t>
            </w:r>
          </w:p>
        </w:tc>
      </w:tr>
      <w:tr w14:paraId="209F8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29745497">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28</w:t>
            </w:r>
          </w:p>
        </w:tc>
        <w:tc>
          <w:tcPr>
            <w:tcW w:w="3685" w:type="dxa"/>
            <w:shd w:val="clear" w:color="auto" w:fill="FFFFFF"/>
            <w:vAlign w:val="center"/>
          </w:tcPr>
          <w:p w14:paraId="1CC3353D">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中国区域经济研究数据库</w:t>
            </w:r>
          </w:p>
        </w:tc>
        <w:tc>
          <w:tcPr>
            <w:tcW w:w="2145" w:type="dxa"/>
            <w:shd w:val="clear" w:color="auto" w:fill="FFFFFF"/>
            <w:vAlign w:val="center"/>
          </w:tcPr>
          <w:p w14:paraId="1B32FE01">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CRED</w:t>
            </w:r>
          </w:p>
        </w:tc>
      </w:tr>
      <w:tr w14:paraId="10FC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6DE5B991">
            <w:pPr>
              <w:widowControl/>
              <w:jc w:val="center"/>
              <w:textAlignment w:val="center"/>
              <w:rPr>
                <w:rFonts w:cs="宋体" w:asciiTheme="majorEastAsia" w:hAnsiTheme="majorEastAsia" w:eastAsiaTheme="majorEastAsia"/>
                <w:color w:val="000000"/>
                <w:kern w:val="0"/>
                <w:szCs w:val="21"/>
                <w:lang w:bidi="ar"/>
              </w:rPr>
            </w:pPr>
            <w:r>
              <w:rPr>
                <w:rFonts w:hint="eastAsia" w:cs="宋体" w:asciiTheme="majorEastAsia" w:hAnsiTheme="majorEastAsia" w:eastAsiaTheme="majorEastAsia"/>
                <w:color w:val="000000"/>
                <w:kern w:val="0"/>
                <w:szCs w:val="21"/>
                <w:lang w:bidi="ar"/>
              </w:rPr>
              <w:t>29</w:t>
            </w:r>
          </w:p>
        </w:tc>
        <w:tc>
          <w:tcPr>
            <w:tcW w:w="3685" w:type="dxa"/>
            <w:shd w:val="clear" w:color="auto" w:fill="FFFFFF"/>
            <w:vAlign w:val="center"/>
          </w:tcPr>
          <w:p w14:paraId="172A6014">
            <w:pPr>
              <w:widowControl/>
              <w:jc w:val="left"/>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中国债券研究数据库</w:t>
            </w:r>
          </w:p>
        </w:tc>
        <w:tc>
          <w:tcPr>
            <w:tcW w:w="2145" w:type="dxa"/>
            <w:shd w:val="clear" w:color="auto" w:fill="FFFFFF"/>
            <w:vAlign w:val="center"/>
          </w:tcPr>
          <w:p w14:paraId="272B2535">
            <w:pPr>
              <w:widowControl/>
              <w:jc w:val="center"/>
              <w:textAlignment w:val="center"/>
              <w:rPr>
                <w:rFonts w:cs="宋体" w:asciiTheme="majorEastAsia" w:hAnsiTheme="majorEastAsia" w:eastAsiaTheme="majorEastAsia"/>
                <w:color w:val="000000" w:themeColor="text1"/>
                <w:kern w:val="0"/>
                <w:szCs w:val="21"/>
                <w14:textFill>
                  <w14:solidFill>
                    <w14:schemeClr w14:val="tx1"/>
                  </w14:solidFill>
                </w14:textFill>
              </w:rPr>
            </w:pPr>
            <w:r>
              <w:rPr>
                <w:rFonts w:hint="eastAsia" w:cs="宋体" w:asciiTheme="majorEastAsia" w:hAnsiTheme="majorEastAsia" w:eastAsiaTheme="majorEastAsia"/>
                <w:color w:val="000000"/>
                <w:kern w:val="0"/>
                <w:szCs w:val="21"/>
                <w:lang w:bidi="ar"/>
              </w:rPr>
              <w:t>BOND</w:t>
            </w:r>
          </w:p>
        </w:tc>
      </w:tr>
      <w:tr w14:paraId="1F906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53" w:type="dxa"/>
            <w:shd w:val="clear" w:color="auto" w:fill="FFFFFF"/>
            <w:vAlign w:val="center"/>
          </w:tcPr>
          <w:p w14:paraId="5EF87474">
            <w:pPr>
              <w:widowControl/>
              <w:jc w:val="center"/>
              <w:textAlignment w:val="center"/>
              <w:rPr>
                <w:rFonts w:cs="宋体" w:asciiTheme="majorEastAsia" w:hAnsiTheme="majorEastAsia" w:eastAsiaTheme="majorEastAsia"/>
                <w:b/>
                <w:bCs/>
                <w:color w:val="000000"/>
                <w:kern w:val="0"/>
                <w:szCs w:val="21"/>
                <w:lang w:bidi="ar"/>
              </w:rPr>
            </w:pPr>
            <w:r>
              <w:rPr>
                <w:rFonts w:hint="eastAsia" w:cs="宋体" w:asciiTheme="majorEastAsia" w:hAnsiTheme="majorEastAsia" w:eastAsiaTheme="majorEastAsia"/>
                <w:b/>
                <w:bCs/>
                <w:color w:val="000000"/>
                <w:kern w:val="0"/>
                <w:szCs w:val="21"/>
                <w:lang w:bidi="ar"/>
              </w:rPr>
              <w:t>合计</w:t>
            </w:r>
          </w:p>
        </w:tc>
        <w:tc>
          <w:tcPr>
            <w:tcW w:w="5830" w:type="dxa"/>
            <w:gridSpan w:val="2"/>
            <w:shd w:val="clear" w:color="auto" w:fill="FFFFFF"/>
            <w:vAlign w:val="center"/>
          </w:tcPr>
          <w:p w14:paraId="0714D3C4">
            <w:pPr>
              <w:widowControl/>
              <w:jc w:val="center"/>
              <w:textAlignment w:val="center"/>
              <w:rPr>
                <w:rFonts w:cs="宋体" w:asciiTheme="majorEastAsia" w:hAnsiTheme="majorEastAsia" w:eastAsiaTheme="majorEastAsia"/>
                <w:b/>
                <w:bCs/>
                <w:color w:val="000000" w:themeColor="text1"/>
                <w:kern w:val="0"/>
                <w:szCs w:val="21"/>
                <w14:textFill>
                  <w14:solidFill>
                    <w14:schemeClr w14:val="tx1"/>
                  </w14:solidFill>
                </w14:textFill>
              </w:rPr>
            </w:pPr>
            <w:r>
              <w:rPr>
                <w:rFonts w:hint="eastAsia" w:cs="宋体" w:asciiTheme="majorEastAsia" w:hAnsiTheme="majorEastAsia" w:eastAsiaTheme="majorEastAsia"/>
                <w:b/>
                <w:bCs/>
                <w:color w:val="000000" w:themeColor="text1"/>
                <w:kern w:val="0"/>
                <w:szCs w:val="21"/>
                <w14:textFill>
                  <w14:solidFill>
                    <w14:schemeClr w14:val="tx1"/>
                  </w14:solidFill>
                </w14:textFill>
              </w:rPr>
              <w:t>2</w:t>
            </w:r>
            <w:r>
              <w:rPr>
                <w:rFonts w:cs="宋体" w:asciiTheme="majorEastAsia" w:hAnsiTheme="majorEastAsia" w:eastAsiaTheme="majorEastAsia"/>
                <w:b/>
                <w:bCs/>
                <w:color w:val="000000" w:themeColor="text1"/>
                <w:kern w:val="0"/>
                <w:szCs w:val="21"/>
                <w14:textFill>
                  <w14:solidFill>
                    <w14:schemeClr w14:val="tx1"/>
                  </w14:solidFill>
                </w14:textFill>
              </w:rPr>
              <w:t>9</w:t>
            </w:r>
            <w:r>
              <w:rPr>
                <w:rFonts w:hint="eastAsia" w:cs="宋体" w:asciiTheme="majorEastAsia" w:hAnsiTheme="majorEastAsia" w:eastAsiaTheme="majorEastAsia"/>
                <w:b/>
                <w:bCs/>
                <w:color w:val="000000" w:themeColor="text1"/>
                <w:kern w:val="0"/>
                <w:szCs w:val="21"/>
                <w14:textFill>
                  <w14:solidFill>
                    <w14:schemeClr w14:val="tx1"/>
                  </w14:solidFill>
                </w14:textFill>
              </w:rPr>
              <w:t>个基础库</w:t>
            </w:r>
          </w:p>
        </w:tc>
      </w:tr>
    </w:tbl>
    <w:p w14:paraId="3F4C8D8F">
      <w:pPr>
        <w:rPr>
          <w:rFonts w:ascii="宋体" w:hAnsi="宋体"/>
          <w:b/>
          <w:szCs w:val="21"/>
          <w:highlight w:val="yellow"/>
        </w:rPr>
      </w:pPr>
    </w:p>
    <w:p w14:paraId="1123D301">
      <w:pPr>
        <w:rPr>
          <w:rFonts w:ascii="宋体" w:hAnsi="宋体"/>
          <w:b/>
          <w:szCs w:val="21"/>
          <w:highlight w:val="yellow"/>
        </w:rPr>
      </w:pPr>
    </w:p>
    <w:p w14:paraId="629ED422">
      <w:pPr>
        <w:rPr>
          <w:rFonts w:ascii="宋体" w:hAnsi="宋体"/>
          <w:b/>
          <w:szCs w:val="21"/>
          <w:highlight w:val="yellow"/>
        </w:rPr>
      </w:pPr>
    </w:p>
    <w:p w14:paraId="62EF2A63">
      <w:pPr>
        <w:rPr>
          <w:rFonts w:ascii="宋体" w:hAnsi="宋体"/>
          <w:b/>
          <w:szCs w:val="21"/>
          <w:highlight w:val="yellow"/>
        </w:rPr>
      </w:pPr>
    </w:p>
    <w:p w14:paraId="319665C2">
      <w:pPr>
        <w:rPr>
          <w:rFonts w:ascii="宋体" w:hAnsi="宋体"/>
          <w:b/>
          <w:szCs w:val="21"/>
          <w:highlight w:val="yellow"/>
        </w:rPr>
      </w:pPr>
    </w:p>
    <w:p w14:paraId="443569B7">
      <w:pPr>
        <w:rPr>
          <w:rFonts w:ascii="宋体" w:hAnsi="宋体"/>
          <w:b/>
          <w:szCs w:val="21"/>
          <w:highlight w:val="yellow"/>
        </w:rPr>
      </w:pPr>
    </w:p>
    <w:p w14:paraId="3A4609AE">
      <w:pPr>
        <w:rPr>
          <w:rFonts w:ascii="宋体" w:hAnsi="宋体"/>
          <w:b/>
          <w:szCs w:val="21"/>
          <w:highlight w:val="yellow"/>
        </w:rPr>
      </w:pPr>
    </w:p>
    <w:p w14:paraId="305DACBE">
      <w:pPr>
        <w:rPr>
          <w:rFonts w:ascii="宋体" w:hAnsi="宋体"/>
          <w:b/>
          <w:szCs w:val="21"/>
          <w:highlight w:val="yellow"/>
        </w:rPr>
      </w:pPr>
    </w:p>
    <w:p w14:paraId="17AC8453">
      <w:pPr>
        <w:rPr>
          <w:rFonts w:ascii="宋体" w:hAnsi="宋体"/>
          <w:b/>
          <w:szCs w:val="21"/>
          <w:highlight w:val="yellow"/>
        </w:rPr>
      </w:pPr>
    </w:p>
    <w:p w14:paraId="71C3C306">
      <w:pPr>
        <w:rPr>
          <w:rFonts w:ascii="宋体" w:hAnsi="宋体"/>
          <w:b/>
          <w:szCs w:val="21"/>
          <w:highlight w:val="yellow"/>
        </w:rPr>
      </w:pPr>
    </w:p>
    <w:p w14:paraId="6C58F54C">
      <w:pPr>
        <w:rPr>
          <w:rFonts w:ascii="宋体" w:hAnsi="宋体"/>
          <w:b/>
          <w:szCs w:val="21"/>
          <w:highlight w:val="yellow"/>
        </w:rPr>
      </w:pPr>
    </w:p>
    <w:p w14:paraId="794D9E82">
      <w:pPr>
        <w:rPr>
          <w:rFonts w:ascii="宋体" w:hAnsi="宋体"/>
          <w:b/>
          <w:szCs w:val="21"/>
          <w:highlight w:val="yellow"/>
        </w:rPr>
      </w:pPr>
    </w:p>
    <w:p w14:paraId="08A2D0A8">
      <w:pPr>
        <w:pStyle w:val="3"/>
        <w:rPr>
          <w:rFonts w:hint="eastAsia"/>
        </w:rPr>
      </w:pPr>
      <w:bookmarkStart w:id="17" w:name="_Toc520292938"/>
    </w:p>
    <w:p w14:paraId="28383A12">
      <w:pPr>
        <w:pStyle w:val="3"/>
        <w:rPr>
          <w:rFonts w:hint="eastAsia"/>
        </w:rPr>
      </w:pPr>
    </w:p>
    <w:p w14:paraId="18526C9F">
      <w:pPr>
        <w:pStyle w:val="3"/>
        <w:rPr>
          <w:rFonts w:hint="eastAsia"/>
        </w:rPr>
      </w:pPr>
    </w:p>
    <w:p w14:paraId="4D3B0833">
      <w:pPr>
        <w:pStyle w:val="3"/>
        <w:rPr>
          <w:rFonts w:hint="eastAsia"/>
        </w:rPr>
      </w:pPr>
    </w:p>
    <w:p w14:paraId="30D4AC81">
      <w:pPr>
        <w:pStyle w:val="3"/>
      </w:pPr>
      <w:r>
        <w:rPr>
          <w:rFonts w:hint="eastAsia"/>
        </w:rPr>
        <w:t>2</w:t>
      </w:r>
      <w:r>
        <w:t xml:space="preserve"> 使用说明</w:t>
      </w:r>
      <w:bookmarkEnd w:id="17"/>
    </w:p>
    <w:p w14:paraId="37CBCAF2">
      <w:pPr>
        <w:spacing w:line="360" w:lineRule="auto"/>
        <w:ind w:firstLine="480"/>
        <w:rPr>
          <w:sz w:val="24"/>
        </w:rPr>
      </w:pPr>
      <w:r>
        <w:rPr>
          <w:rFonts w:hint="eastAsia"/>
          <w:sz w:val="24"/>
          <w:lang w:val="en-US" w:eastAsia="zh-CN"/>
        </w:rPr>
        <w:t>校园网范围内使用。</w:t>
      </w:r>
      <w:r>
        <w:rPr>
          <w:sz w:val="24"/>
        </w:rPr>
        <w:t>登陆</w:t>
      </w:r>
      <w:r>
        <w:fldChar w:fldCharType="begin"/>
      </w:r>
      <w:r>
        <w:instrText xml:space="preserve"> HYPERLINK "http://www.cnrds.com" </w:instrText>
      </w:r>
      <w:r>
        <w:fldChar w:fldCharType="separate"/>
      </w:r>
      <w:r>
        <w:rPr>
          <w:rStyle w:val="13"/>
          <w:rFonts w:hint="eastAsia"/>
          <w:sz w:val="24"/>
        </w:rPr>
        <w:t>中国</w:t>
      </w:r>
      <w:r>
        <w:rPr>
          <w:rStyle w:val="13"/>
          <w:rFonts w:hint="eastAsia"/>
          <w:sz w:val="24"/>
        </w:rPr>
        <w:fldChar w:fldCharType="end"/>
      </w:r>
      <w:r>
        <w:rPr>
          <w:rFonts w:hint="eastAsia"/>
          <w:sz w:val="24"/>
        </w:rPr>
        <w:t>研究服务平台</w:t>
      </w:r>
    </w:p>
    <w:p w14:paraId="5E440F90">
      <w:pPr>
        <w:spacing w:line="360" w:lineRule="auto"/>
        <w:ind w:firstLine="480"/>
        <w:rPr>
          <w:sz w:val="24"/>
        </w:rPr>
      </w:pPr>
      <w:r>
        <w:rPr>
          <w:rFonts w:hint="eastAsia"/>
          <w:sz w:val="24"/>
        </w:rPr>
        <w:t>基础库，校园网内师生使用。特色子库，仅限经济学院的教师和研究生使用。教师的账号和密码已发至个人邮箱，经济学院的研究生需要自己去网站注册账号登录使用。</w:t>
      </w:r>
    </w:p>
    <w:p w14:paraId="6868DEDB">
      <w:pPr>
        <w:spacing w:line="360" w:lineRule="auto"/>
        <w:ind w:firstLine="480"/>
        <w:rPr>
          <w:rFonts w:hint="eastAsia"/>
          <w:sz w:val="24"/>
        </w:rPr>
      </w:pPr>
      <w:r>
        <w:rPr>
          <w:rFonts w:hint="eastAsia"/>
          <w:sz w:val="24"/>
        </w:rPr>
        <w:t>可在学校图书馆官网-资源-数据库-按学科分类（经济/商业/管理）页面也查收，或者直接打开：</w:t>
      </w:r>
      <w:r>
        <w:rPr>
          <w:rFonts w:hint="eastAsia"/>
          <w:sz w:val="24"/>
        </w:rPr>
        <w:fldChar w:fldCharType="begin"/>
      </w:r>
      <w:r>
        <w:rPr>
          <w:rFonts w:hint="eastAsia"/>
          <w:sz w:val="24"/>
        </w:rPr>
        <w:instrText xml:space="preserve"> HYPERLINK "http://www.cnrds.com" </w:instrText>
      </w:r>
      <w:r>
        <w:rPr>
          <w:rFonts w:hint="eastAsia"/>
          <w:sz w:val="24"/>
        </w:rPr>
        <w:fldChar w:fldCharType="separate"/>
      </w:r>
      <w:r>
        <w:rPr>
          <w:rFonts w:hint="eastAsia"/>
          <w:sz w:val="24"/>
        </w:rPr>
        <w:t>http://www.cnrds.com</w:t>
      </w:r>
      <w:r>
        <w:rPr>
          <w:rFonts w:hint="eastAsia"/>
          <w:sz w:val="24"/>
        </w:rPr>
        <w:fldChar w:fldCharType="end"/>
      </w:r>
    </w:p>
    <w:p w14:paraId="1979F3C2">
      <w:pPr>
        <w:spacing w:line="360" w:lineRule="auto"/>
        <w:ind w:firstLine="480"/>
        <w:rPr>
          <w:sz w:val="24"/>
        </w:rPr>
      </w:pPr>
    </w:p>
    <w:p w14:paraId="054B261A">
      <w:pPr>
        <w:spacing w:line="360" w:lineRule="auto"/>
        <w:rPr>
          <w:rFonts w:hint="eastAsia" w:ascii="宋体" w:hAnsi="宋体" w:eastAsia="宋体"/>
          <w:b/>
          <w:color w:val="000000"/>
          <w:sz w:val="24"/>
          <w:lang w:eastAsia="zh-CN"/>
        </w:rPr>
      </w:pPr>
      <w:bookmarkStart w:id="18" w:name="_Toc520292939"/>
      <w:r>
        <w:rPr>
          <w:rFonts w:hint="eastAsia" w:ascii="宋体" w:hAnsi="宋体"/>
          <w:b/>
          <w:color w:val="000000"/>
          <w:sz w:val="24"/>
        </w:rPr>
        <w:t>七．</w:t>
      </w:r>
      <w:r>
        <w:rPr>
          <w:b/>
          <w:sz w:val="24"/>
        </w:rPr>
        <w:t>PitchBook金融数据库</w:t>
      </w:r>
      <w:r>
        <w:rPr>
          <w:rFonts w:hint="eastAsia"/>
          <w:b/>
          <w:sz w:val="24"/>
          <w:lang w:eastAsia="zh-CN"/>
        </w:rPr>
        <w:t>（</w:t>
      </w:r>
      <w:r>
        <w:rPr>
          <w:rFonts w:hint="eastAsia"/>
          <w:b/>
          <w:sz w:val="24"/>
          <w:lang w:val="en-US" w:eastAsia="zh-CN"/>
        </w:rPr>
        <w:t>2025年10月1日后开通</w:t>
      </w:r>
      <w:r>
        <w:rPr>
          <w:rFonts w:hint="eastAsia"/>
          <w:b/>
          <w:sz w:val="24"/>
          <w:lang w:eastAsia="zh-CN"/>
        </w:rPr>
        <w:t>）</w:t>
      </w:r>
    </w:p>
    <w:p w14:paraId="3F6DFB5A">
      <w:pPr>
        <w:spacing w:line="360" w:lineRule="auto"/>
        <w:rPr>
          <w:b/>
          <w:sz w:val="24"/>
        </w:rPr>
      </w:pPr>
      <w:r>
        <w:rPr>
          <w:rFonts w:hint="eastAsia"/>
          <w:b/>
          <w:sz w:val="24"/>
        </w:rPr>
        <w:t>1．数据库介绍</w:t>
      </w:r>
    </w:p>
    <w:p w14:paraId="355A1682">
      <w:pPr>
        <w:spacing w:line="360" w:lineRule="auto"/>
        <w:ind w:firstLine="480"/>
        <w:rPr>
          <w:sz w:val="24"/>
        </w:rPr>
      </w:pPr>
      <w:r>
        <w:rPr>
          <w:sz w:val="24"/>
        </w:rPr>
        <w:t>PitchBook</w:t>
      </w:r>
      <w:r>
        <w:rPr>
          <w:rFonts w:hint="eastAsia"/>
          <w:sz w:val="24"/>
        </w:rPr>
        <w:t>是目前最全面的全球范围内并购、私募股权和风险资本数据库之一，也是企业资本活动的强有力分析平台。尤其在当今最活跃的数字经济领域，其数据非常全面，更新及时，</w:t>
      </w:r>
      <w:r>
        <w:rPr>
          <w:sz w:val="24"/>
        </w:rPr>
        <w:t>是进行数字经济领域研究不可或缺的工具。</w:t>
      </w:r>
      <w:r>
        <w:rPr>
          <w:rFonts w:hint="eastAsia"/>
          <w:sz w:val="24"/>
        </w:rPr>
        <w:t>其用户不仅包括微软、三星等跨国企业、麦肯锡等咨询机构，也包括哈佛等顶尖大学和研究机构。</w:t>
      </w:r>
    </w:p>
    <w:p w14:paraId="5358895A">
      <w:pPr>
        <w:spacing w:line="360" w:lineRule="auto"/>
        <w:rPr>
          <w:b/>
          <w:sz w:val="24"/>
        </w:rPr>
      </w:pPr>
      <w:r>
        <w:rPr>
          <w:rFonts w:hint="eastAsia"/>
          <w:b/>
          <w:sz w:val="24"/>
        </w:rPr>
        <w:t xml:space="preserve">2．使用方法 </w:t>
      </w:r>
    </w:p>
    <w:p w14:paraId="253042A9">
      <w:pPr>
        <w:spacing w:line="360" w:lineRule="auto"/>
        <w:rPr>
          <w:sz w:val="24"/>
        </w:rPr>
      </w:pPr>
      <w:r>
        <w:rPr>
          <w:rFonts w:hint="eastAsia"/>
          <w:sz w:val="24"/>
        </w:rPr>
        <w:t xml:space="preserve">    </w:t>
      </w:r>
      <w:r>
        <w:rPr>
          <w:rFonts w:hint="eastAsia"/>
          <w:sz w:val="24"/>
          <w:lang w:val="en-US" w:eastAsia="zh-CN"/>
        </w:rPr>
        <w:t>账号访问。</w:t>
      </w:r>
      <w:r>
        <w:rPr>
          <w:rFonts w:hint="eastAsia"/>
          <w:sz w:val="24"/>
        </w:rPr>
        <w:t>网址：</w:t>
      </w:r>
      <w:r>
        <w:rPr>
          <w:sz w:val="24"/>
        </w:rPr>
        <w:t>https://my.pitchbook.com</w:t>
      </w:r>
    </w:p>
    <w:p w14:paraId="3F48B0E1">
      <w:pPr>
        <w:spacing w:line="360" w:lineRule="auto"/>
        <w:ind w:firstLine="480"/>
        <w:rPr>
          <w:sz w:val="24"/>
        </w:rPr>
      </w:pPr>
      <w:r>
        <w:rPr>
          <w:rFonts w:hint="eastAsia"/>
          <w:sz w:val="24"/>
        </w:rPr>
        <w:t>有使用需求的同学需要提前到实验中心联系张老师（</w:t>
      </w:r>
      <w:r>
        <w:rPr>
          <w:rFonts w:hint="eastAsia" w:ascii="微软雅黑" w:hAnsi="微软雅黑" w:eastAsia="微软雅黑"/>
          <w:color w:val="333333"/>
          <w:sz w:val="26"/>
          <w:szCs w:val="26"/>
          <w:shd w:val="clear" w:color="auto" w:fill="FFFFFF"/>
        </w:rPr>
        <w:t>23498985</w:t>
      </w:r>
      <w:r>
        <w:rPr>
          <w:rFonts w:hint="eastAsia"/>
          <w:sz w:val="24"/>
        </w:rPr>
        <w:t>）进行预约，预约成功后可以使用。</w:t>
      </w:r>
    </w:p>
    <w:p w14:paraId="03D9ADB3">
      <w:pPr>
        <w:spacing w:line="360" w:lineRule="auto"/>
        <w:ind w:firstLine="480"/>
        <w:rPr>
          <w:sz w:val="24"/>
        </w:rPr>
      </w:pPr>
    </w:p>
    <w:p w14:paraId="310E4AF9">
      <w:pPr>
        <w:spacing w:line="360" w:lineRule="auto"/>
        <w:rPr>
          <w:rFonts w:eastAsia="黑体"/>
          <w:b/>
          <w:bCs/>
          <w:sz w:val="28"/>
          <w:szCs w:val="32"/>
          <w:lang w:val="zh-CN"/>
        </w:rPr>
      </w:pPr>
      <w:r>
        <w:rPr>
          <w:rFonts w:hint="eastAsia" w:eastAsia="黑体"/>
          <w:b/>
          <w:bCs/>
          <w:sz w:val="28"/>
          <w:szCs w:val="32"/>
          <w:lang w:val="zh-CN"/>
        </w:rPr>
        <w:t>八．IBFD国际税务研究平台</w:t>
      </w:r>
    </w:p>
    <w:p w14:paraId="7E30CEE1">
      <w:pPr>
        <w:spacing w:line="360" w:lineRule="auto"/>
        <w:rPr>
          <w:b/>
          <w:sz w:val="24"/>
        </w:rPr>
      </w:pPr>
      <w:r>
        <w:rPr>
          <w:rFonts w:hint="eastAsia"/>
          <w:b/>
          <w:sz w:val="24"/>
        </w:rPr>
        <w:t>1．数据库介绍</w:t>
      </w:r>
    </w:p>
    <w:p w14:paraId="388F2C53">
      <w:pPr>
        <w:spacing w:line="360" w:lineRule="auto"/>
        <w:ind w:firstLine="480"/>
        <w:rPr>
          <w:b/>
          <w:sz w:val="24"/>
        </w:rPr>
      </w:pPr>
      <w:r>
        <w:rPr>
          <w:sz w:val="24"/>
        </w:rPr>
        <w:t>IBFD</w:t>
      </w:r>
      <w:r>
        <w:rPr>
          <w:rFonts w:hint="eastAsia"/>
          <w:sz w:val="24"/>
        </w:rPr>
        <w:t>国际税务研究平台包括</w:t>
      </w:r>
      <w:r>
        <w:rPr>
          <w:sz w:val="24"/>
        </w:rPr>
        <w:t>215</w:t>
      </w:r>
      <w:r>
        <w:rPr>
          <w:rFonts w:hint="eastAsia"/>
          <w:sz w:val="24"/>
        </w:rPr>
        <w:t>个国家和经济体的国际税务新闻、国家税制特征信息，以及</w:t>
      </w:r>
      <w:r>
        <w:rPr>
          <w:sz w:val="24"/>
        </w:rPr>
        <w:t>169</w:t>
      </w:r>
      <w:r>
        <w:rPr>
          <w:rFonts w:hint="eastAsia"/>
          <w:sz w:val="24"/>
        </w:rPr>
        <w:t>个国家和经济体的税制信息和对</w:t>
      </w:r>
      <w:r>
        <w:rPr>
          <w:sz w:val="24"/>
        </w:rPr>
        <w:t>69</w:t>
      </w:r>
      <w:r>
        <w:rPr>
          <w:rFonts w:hint="eastAsia"/>
          <w:sz w:val="24"/>
        </w:rPr>
        <w:t>个国家和经济体税收制度的深度分析（含历史资料）。按主题划分，研究平台涉及公司所得税，个人所得税等直接税，也涉及增值税，销售税和其他间接税、转让定价、深入主题分析（公司</w:t>
      </w:r>
      <w:r>
        <w:rPr>
          <w:sz w:val="24"/>
        </w:rPr>
        <w:t>/</w:t>
      </w:r>
      <w:r>
        <w:rPr>
          <w:rFonts w:hint="eastAsia"/>
          <w:sz w:val="24"/>
        </w:rPr>
        <w:t>私人投资收入、控股公司、投资基金及私募、全球移动、并购、常设机构、国际税务重组以及税务风险管理）、国际条约、国际条约模板、全球税务条约评论。同时，还包括税法商法及税法案例库。出版物方面，包含</w:t>
      </w:r>
      <w:r>
        <w:rPr>
          <w:sz w:val="24"/>
        </w:rPr>
        <w:t>343</w:t>
      </w:r>
      <w:r>
        <w:rPr>
          <w:rFonts w:hint="eastAsia"/>
          <w:sz w:val="24"/>
        </w:rPr>
        <w:t>本在线书籍及</w:t>
      </w:r>
      <w:r>
        <w:rPr>
          <w:sz w:val="24"/>
        </w:rPr>
        <w:t>10</w:t>
      </w:r>
      <w:r>
        <w:rPr>
          <w:rFonts w:hint="eastAsia"/>
          <w:sz w:val="24"/>
        </w:rPr>
        <w:t>种在线期刊（美洲税务、亚太税务、欧洲、中东和非洲税务、欧洲税务、金融及资本市场、个人税收、税收协定、国际税务转让定价、国际增值税监控等）。</w:t>
      </w:r>
    </w:p>
    <w:p w14:paraId="6FB754E0">
      <w:pPr>
        <w:spacing w:line="360" w:lineRule="auto"/>
        <w:rPr>
          <w:b/>
          <w:sz w:val="24"/>
        </w:rPr>
      </w:pPr>
      <w:r>
        <w:rPr>
          <w:rFonts w:hint="eastAsia"/>
          <w:b/>
          <w:sz w:val="24"/>
        </w:rPr>
        <w:t xml:space="preserve">2．使用方法 </w:t>
      </w:r>
    </w:p>
    <w:p w14:paraId="7A533BAE">
      <w:pPr>
        <w:spacing w:line="360" w:lineRule="auto"/>
        <w:ind w:firstLine="480" w:firstLineChars="200"/>
        <w:rPr>
          <w:sz w:val="24"/>
        </w:rPr>
      </w:pPr>
      <w:r>
        <w:rPr>
          <w:rFonts w:hint="eastAsia"/>
          <w:sz w:val="24"/>
          <w:lang w:val="en-US" w:eastAsia="zh-CN"/>
        </w:rPr>
        <w:t>校园网范围内使用。</w:t>
      </w:r>
      <w:r>
        <w:rPr>
          <w:rFonts w:hint="eastAsia"/>
          <w:sz w:val="24"/>
        </w:rPr>
        <w:t>可在学校图书馆官网-资源-数据库-按学科分类（经济/商业/管理）页面也查收，或者直接打开：</w:t>
      </w:r>
      <w:r>
        <w:fldChar w:fldCharType="begin"/>
      </w:r>
      <w:r>
        <w:instrText xml:space="preserve"> HYPERLINK "https://research.ibfd.org/" \t "_blank" </w:instrText>
      </w:r>
      <w:r>
        <w:fldChar w:fldCharType="separate"/>
      </w:r>
      <w:r>
        <w:rPr>
          <w:sz w:val="24"/>
        </w:rPr>
        <w:t>https://research.ibfd.org/</w:t>
      </w:r>
      <w:r>
        <w:rPr>
          <w:sz w:val="24"/>
        </w:rPr>
        <w:fldChar w:fldCharType="end"/>
      </w:r>
      <w:bookmarkEnd w:id="18"/>
    </w:p>
    <w:p w14:paraId="0426BB91">
      <w:pPr>
        <w:pStyle w:val="2"/>
        <w:rPr>
          <w:lang w:eastAsia="zh-CN"/>
        </w:rPr>
      </w:pPr>
      <w:r>
        <w:rPr>
          <w:rFonts w:hint="eastAsia"/>
          <w:lang w:eastAsia="zh-CN"/>
        </w:rPr>
        <w:t>九．</w:t>
      </w:r>
      <w:r>
        <w:rPr>
          <w:lang w:eastAsia="zh-CN"/>
        </w:rPr>
        <w:t>CSMAR经济金融研究数据库</w:t>
      </w:r>
    </w:p>
    <w:p w14:paraId="68330EE1">
      <w:pPr>
        <w:pStyle w:val="3"/>
      </w:pPr>
      <w:r>
        <w:rPr>
          <w:rFonts w:hint="eastAsia"/>
        </w:rPr>
        <w:t>1</w:t>
      </w:r>
      <w:r>
        <w:t xml:space="preserve"> 数据库介绍</w:t>
      </w:r>
    </w:p>
    <w:p w14:paraId="24F20465">
      <w:pPr>
        <w:widowControl/>
        <w:ind w:firstLine="480" w:firstLineChars="200"/>
        <w:jc w:val="left"/>
        <w:rPr>
          <w:sz w:val="24"/>
        </w:rPr>
      </w:pPr>
      <w:r>
        <w:rPr>
          <w:sz w:val="24"/>
        </w:rPr>
        <w:t>CSMAR经济金融研究数据库是国泰安从学术研究的需求出发，借鉴芝加哥大学CRSP、标准普尔Compustat、 纽约交易所TAQ、I/B/E/S、Thomson等国际知名数据库的专业标准，并结合中国实际国情开发的经济金融型数据库。经过18年的不断积累和完善，CSMAR数据库已涵盖因子研究、人物特征、绿色经济、股票、公司等18大系列，包含130+个数据库、4000多张表、4万多个字段。</w:t>
      </w:r>
    </w:p>
    <w:p w14:paraId="7EE28A5A">
      <w:pPr>
        <w:widowControl/>
        <w:ind w:firstLine="480" w:firstLineChars="200"/>
        <w:jc w:val="left"/>
        <w:rPr>
          <w:sz w:val="24"/>
        </w:rPr>
      </w:pPr>
      <w:r>
        <w:rPr>
          <w:sz w:val="24"/>
        </w:rPr>
        <w:t>我校订购的CSMAR数据模块清单</w:t>
      </w:r>
    </w:p>
    <w:p w14:paraId="6A37D3F2">
      <w:pPr>
        <w:widowControl/>
        <w:ind w:firstLine="480" w:firstLineChars="200"/>
        <w:jc w:val="left"/>
        <w:rPr>
          <w:sz w:val="24"/>
        </w:rPr>
      </w:pPr>
      <w:r>
        <w:rPr>
          <w:sz w:val="24"/>
        </w:rPr>
        <w:t>　    </w:t>
      </w:r>
    </w:p>
    <w:tbl>
      <w:tblPr>
        <w:tblStyle w:val="9"/>
        <w:tblW w:w="4665" w:type="dxa"/>
        <w:jc w:val="center"/>
        <w:tblLayout w:type="autofit"/>
        <w:tblCellMar>
          <w:top w:w="0" w:type="dxa"/>
          <w:left w:w="0" w:type="dxa"/>
          <w:bottom w:w="0" w:type="dxa"/>
          <w:right w:w="0" w:type="dxa"/>
        </w:tblCellMar>
      </w:tblPr>
      <w:tblGrid>
        <w:gridCol w:w="4665"/>
      </w:tblGrid>
      <w:tr w14:paraId="2834D425">
        <w:tblPrEx>
          <w:tblCellMar>
            <w:top w:w="0" w:type="dxa"/>
            <w:left w:w="0" w:type="dxa"/>
            <w:bottom w:w="0" w:type="dxa"/>
            <w:right w:w="0" w:type="dxa"/>
          </w:tblCellMar>
        </w:tblPrEx>
        <w:trPr>
          <w:trHeight w:val="285" w:hRule="atLeast"/>
          <w:jc w:val="center"/>
        </w:trPr>
        <w:tc>
          <w:tcPr>
            <w:tcW w:w="4665" w:type="dxa"/>
            <w:tcBorders>
              <w:top w:val="single" w:color="000000" w:sz="6" w:space="0"/>
              <w:left w:val="single" w:color="000000" w:sz="6" w:space="0"/>
              <w:bottom w:val="single" w:color="000000" w:sz="6" w:space="0"/>
              <w:right w:val="single" w:color="000000" w:sz="6" w:space="0"/>
            </w:tcBorders>
            <w:shd w:val="clear" w:color="auto" w:fill="auto"/>
            <w:vAlign w:val="center"/>
          </w:tcPr>
          <w:p w14:paraId="567E1A3D">
            <w:pPr>
              <w:widowControl/>
              <w:jc w:val="center"/>
              <w:rPr>
                <w:sz w:val="24"/>
              </w:rPr>
            </w:pPr>
            <w:r>
              <w:rPr>
                <w:rFonts w:hint="eastAsia"/>
                <w:sz w:val="24"/>
              </w:rPr>
              <w:t>中国股票市场交易数据库</w:t>
            </w:r>
          </w:p>
        </w:tc>
      </w:tr>
      <w:tr w14:paraId="30DFEB8D">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421612B2">
            <w:pPr>
              <w:widowControl/>
              <w:jc w:val="center"/>
              <w:rPr>
                <w:sz w:val="24"/>
              </w:rPr>
            </w:pPr>
            <w:r>
              <w:rPr>
                <w:rFonts w:hint="eastAsia"/>
                <w:sz w:val="24"/>
              </w:rPr>
              <w:t>中国上市公司财务报表数据库</w:t>
            </w:r>
          </w:p>
        </w:tc>
      </w:tr>
      <w:tr w14:paraId="235EBA43">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16875ACE">
            <w:pPr>
              <w:widowControl/>
              <w:jc w:val="center"/>
              <w:rPr>
                <w:sz w:val="24"/>
              </w:rPr>
            </w:pPr>
            <w:r>
              <w:rPr>
                <w:rFonts w:hint="eastAsia"/>
                <w:sz w:val="24"/>
              </w:rPr>
              <w:t>中国上市公司财务指标分析数据库</w:t>
            </w:r>
          </w:p>
        </w:tc>
      </w:tr>
      <w:tr w14:paraId="7974A11C">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7DB32439">
            <w:pPr>
              <w:widowControl/>
              <w:jc w:val="center"/>
              <w:rPr>
                <w:sz w:val="24"/>
              </w:rPr>
            </w:pPr>
            <w:r>
              <w:rPr>
                <w:rFonts w:hint="eastAsia"/>
                <w:sz w:val="24"/>
              </w:rPr>
              <w:t>中国上市公司首次公开发行研究数据库（A股）</w:t>
            </w:r>
          </w:p>
        </w:tc>
      </w:tr>
      <w:tr w14:paraId="742E73DF">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4AD06B26">
            <w:pPr>
              <w:widowControl/>
              <w:jc w:val="center"/>
              <w:rPr>
                <w:sz w:val="24"/>
              </w:rPr>
            </w:pPr>
            <w:r>
              <w:rPr>
                <w:rFonts w:hint="eastAsia"/>
                <w:sz w:val="24"/>
              </w:rPr>
              <w:t>中国上市公司增发配股研究数据库</w:t>
            </w:r>
          </w:p>
        </w:tc>
      </w:tr>
      <w:tr w14:paraId="0510383D">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1DAA22B8">
            <w:pPr>
              <w:widowControl/>
              <w:jc w:val="center"/>
              <w:rPr>
                <w:sz w:val="24"/>
              </w:rPr>
            </w:pPr>
            <w:r>
              <w:rPr>
                <w:rFonts w:hint="eastAsia"/>
                <w:sz w:val="24"/>
              </w:rPr>
              <w:t>中国上市公司红利分配研究数据库</w:t>
            </w:r>
          </w:p>
        </w:tc>
      </w:tr>
      <w:tr w14:paraId="67F7E802">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5D37B856">
            <w:pPr>
              <w:widowControl/>
              <w:jc w:val="center"/>
              <w:rPr>
                <w:sz w:val="24"/>
              </w:rPr>
            </w:pPr>
            <w:r>
              <w:rPr>
                <w:rFonts w:hint="eastAsia"/>
                <w:sz w:val="24"/>
              </w:rPr>
              <w:t>中国上市公司股东研究数据库</w:t>
            </w:r>
          </w:p>
        </w:tc>
      </w:tr>
      <w:tr w14:paraId="6DC8CAAF">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46B743B3">
            <w:pPr>
              <w:widowControl/>
              <w:jc w:val="center"/>
              <w:rPr>
                <w:sz w:val="24"/>
              </w:rPr>
            </w:pPr>
            <w:r>
              <w:rPr>
                <w:rFonts w:hint="eastAsia"/>
                <w:sz w:val="24"/>
              </w:rPr>
              <w:t>中国上市公司治理结构研究数据库</w:t>
            </w:r>
          </w:p>
        </w:tc>
      </w:tr>
      <w:tr w14:paraId="704A88BE">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2A553403">
            <w:pPr>
              <w:widowControl/>
              <w:jc w:val="center"/>
              <w:rPr>
                <w:sz w:val="24"/>
              </w:rPr>
            </w:pPr>
            <w:r>
              <w:rPr>
                <w:rFonts w:hint="eastAsia"/>
                <w:sz w:val="24"/>
              </w:rPr>
              <w:t>中国上市公司违规处理研究数据库</w:t>
            </w:r>
          </w:p>
        </w:tc>
      </w:tr>
      <w:tr w14:paraId="61BA2C8A">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5122FBD4">
            <w:pPr>
              <w:widowControl/>
              <w:jc w:val="center"/>
              <w:rPr>
                <w:sz w:val="24"/>
              </w:rPr>
            </w:pPr>
            <w:r>
              <w:rPr>
                <w:rFonts w:hint="eastAsia"/>
                <w:sz w:val="24"/>
              </w:rPr>
              <w:t>中国上市公司并购重组研究数据库</w:t>
            </w:r>
          </w:p>
        </w:tc>
      </w:tr>
      <w:tr w14:paraId="58FDDEE5">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32D1553C">
            <w:pPr>
              <w:widowControl/>
              <w:jc w:val="center"/>
              <w:rPr>
                <w:sz w:val="24"/>
              </w:rPr>
            </w:pPr>
            <w:r>
              <w:rPr>
                <w:rFonts w:hint="eastAsia"/>
                <w:sz w:val="24"/>
              </w:rPr>
              <w:t>中国基金研究数据库</w:t>
            </w:r>
          </w:p>
        </w:tc>
      </w:tr>
      <w:tr w14:paraId="4D9F1AFD">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02484B1D">
            <w:pPr>
              <w:widowControl/>
              <w:jc w:val="center"/>
              <w:rPr>
                <w:sz w:val="24"/>
              </w:rPr>
            </w:pPr>
            <w:r>
              <w:rPr>
                <w:rFonts w:hint="eastAsia"/>
                <w:sz w:val="24"/>
              </w:rPr>
              <w:t>中国专利研究数据库</w:t>
            </w:r>
          </w:p>
        </w:tc>
      </w:tr>
      <w:tr w14:paraId="0ACC6ACA">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564E6821">
            <w:pPr>
              <w:widowControl/>
              <w:jc w:val="center"/>
              <w:rPr>
                <w:sz w:val="24"/>
              </w:rPr>
            </w:pPr>
            <w:r>
              <w:rPr>
                <w:rFonts w:hint="eastAsia"/>
                <w:sz w:val="24"/>
              </w:rPr>
              <w:t>中国上市公司银行贷款研究数据库</w:t>
            </w:r>
          </w:p>
        </w:tc>
      </w:tr>
      <w:tr w14:paraId="63EBC252">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1A8D6F3F">
            <w:pPr>
              <w:widowControl/>
              <w:jc w:val="center"/>
              <w:rPr>
                <w:sz w:val="24"/>
              </w:rPr>
            </w:pPr>
            <w:r>
              <w:rPr>
                <w:rFonts w:hint="eastAsia"/>
                <w:sz w:val="24"/>
              </w:rPr>
              <w:t>中国上市公司人物特征研究数据库</w:t>
            </w:r>
          </w:p>
        </w:tc>
      </w:tr>
      <w:tr w14:paraId="14F3575D">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1EC08D6C">
            <w:pPr>
              <w:widowControl/>
              <w:jc w:val="center"/>
              <w:rPr>
                <w:sz w:val="24"/>
              </w:rPr>
            </w:pPr>
            <w:r>
              <w:rPr>
                <w:rFonts w:hint="eastAsia"/>
                <w:sz w:val="24"/>
              </w:rPr>
              <w:t>中国融资融券研究数据库</w:t>
            </w:r>
          </w:p>
        </w:tc>
      </w:tr>
      <w:tr w14:paraId="376B4773">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5C909BFB">
            <w:pPr>
              <w:widowControl/>
              <w:jc w:val="center"/>
              <w:rPr>
                <w:sz w:val="24"/>
              </w:rPr>
            </w:pPr>
            <w:r>
              <w:rPr>
                <w:rFonts w:hint="eastAsia"/>
                <w:sz w:val="24"/>
              </w:rPr>
              <w:t>中国上市公司业绩预告数据库</w:t>
            </w:r>
          </w:p>
        </w:tc>
      </w:tr>
      <w:tr w14:paraId="40167C2E">
        <w:tblPrEx>
          <w:tblCellMar>
            <w:top w:w="0" w:type="dxa"/>
            <w:left w:w="0" w:type="dxa"/>
            <w:bottom w:w="0" w:type="dxa"/>
            <w:right w:w="0" w:type="dxa"/>
          </w:tblCellMar>
        </w:tblPrEx>
        <w:trPr>
          <w:trHeight w:val="285" w:hRule="atLeast"/>
          <w:jc w:val="center"/>
        </w:trPr>
        <w:tc>
          <w:tcPr>
            <w:tcW w:w="0" w:type="auto"/>
            <w:tcBorders>
              <w:top w:val="nil"/>
              <w:left w:val="single" w:color="000000" w:sz="6" w:space="0"/>
              <w:bottom w:val="single" w:color="000000" w:sz="6" w:space="0"/>
              <w:right w:val="single" w:color="000000" w:sz="6" w:space="0"/>
            </w:tcBorders>
            <w:shd w:val="clear" w:color="auto" w:fill="auto"/>
            <w:vAlign w:val="center"/>
          </w:tcPr>
          <w:p w14:paraId="26994EF0">
            <w:pPr>
              <w:widowControl/>
              <w:jc w:val="center"/>
              <w:rPr>
                <w:sz w:val="24"/>
              </w:rPr>
            </w:pPr>
            <w:r>
              <w:rPr>
                <w:rFonts w:hint="eastAsia"/>
                <w:sz w:val="24"/>
              </w:rPr>
              <w:t>中国上市公司财务报告审计意见数据库</w:t>
            </w:r>
          </w:p>
        </w:tc>
      </w:tr>
      <w:tr w14:paraId="07EEDB44">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50CD4216">
            <w:pPr>
              <w:widowControl/>
              <w:jc w:val="center"/>
              <w:rPr>
                <w:sz w:val="24"/>
              </w:rPr>
            </w:pPr>
            <w:r>
              <w:rPr>
                <w:rFonts w:hint="eastAsia"/>
                <w:sz w:val="24"/>
              </w:rPr>
              <w:t>中国上市公司分析师预测研究数据库</w:t>
            </w:r>
          </w:p>
        </w:tc>
      </w:tr>
      <w:tr w14:paraId="4796EFD7">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2C64E336">
            <w:pPr>
              <w:widowControl/>
              <w:jc w:val="center"/>
              <w:rPr>
                <w:sz w:val="24"/>
              </w:rPr>
            </w:pPr>
            <w:r>
              <w:rPr>
                <w:rFonts w:hint="eastAsia"/>
                <w:sz w:val="24"/>
              </w:rPr>
              <w:t>中国上市公司关联交易研究数据库</w:t>
            </w:r>
          </w:p>
        </w:tc>
      </w:tr>
      <w:tr w14:paraId="0FF41CED">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3D1BBEAC">
            <w:pPr>
              <w:widowControl/>
              <w:jc w:val="center"/>
              <w:rPr>
                <w:sz w:val="24"/>
              </w:rPr>
            </w:pPr>
            <w:r>
              <w:rPr>
                <w:rFonts w:hint="eastAsia"/>
                <w:sz w:val="24"/>
              </w:rPr>
              <w:t>中国民营上市公司数据库</w:t>
            </w:r>
          </w:p>
        </w:tc>
      </w:tr>
      <w:tr w14:paraId="7DD2B50A">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34088D95">
            <w:pPr>
              <w:widowControl/>
              <w:jc w:val="center"/>
              <w:rPr>
                <w:sz w:val="24"/>
              </w:rPr>
            </w:pPr>
            <w:r>
              <w:rPr>
                <w:rFonts w:hint="eastAsia"/>
                <w:sz w:val="24"/>
              </w:rPr>
              <w:t>中国海外上市公司研究数据库</w:t>
            </w:r>
          </w:p>
        </w:tc>
      </w:tr>
      <w:tr w14:paraId="0D2B9104">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6EF1B44A">
            <w:pPr>
              <w:widowControl/>
              <w:jc w:val="center"/>
              <w:rPr>
                <w:sz w:val="24"/>
              </w:rPr>
            </w:pPr>
            <w:r>
              <w:rPr>
                <w:rFonts w:hint="eastAsia"/>
                <w:sz w:val="24"/>
              </w:rPr>
              <w:t>中国上市公司对外担保研究数据库</w:t>
            </w:r>
          </w:p>
        </w:tc>
      </w:tr>
      <w:tr w14:paraId="157C6530">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7FE464C6">
            <w:pPr>
              <w:widowControl/>
              <w:jc w:val="center"/>
              <w:rPr>
                <w:sz w:val="24"/>
              </w:rPr>
            </w:pPr>
            <w:r>
              <w:rPr>
                <w:rFonts w:hint="eastAsia"/>
                <w:sz w:val="24"/>
              </w:rPr>
              <w:t>中国上市公司社会责任研究数据库</w:t>
            </w:r>
          </w:p>
        </w:tc>
      </w:tr>
      <w:tr w14:paraId="1DEEADE7">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4EE7716D">
            <w:pPr>
              <w:widowControl/>
              <w:jc w:val="center"/>
              <w:rPr>
                <w:sz w:val="24"/>
              </w:rPr>
            </w:pPr>
            <w:r>
              <w:rPr>
                <w:rFonts w:hint="eastAsia"/>
                <w:sz w:val="24"/>
              </w:rPr>
              <w:t>中国上市公司机构投资者研究数据库</w:t>
            </w:r>
          </w:p>
        </w:tc>
      </w:tr>
      <w:tr w14:paraId="2AED088C">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13DFA7DC">
            <w:pPr>
              <w:widowControl/>
              <w:jc w:val="center"/>
              <w:rPr>
                <w:sz w:val="24"/>
              </w:rPr>
            </w:pPr>
            <w:r>
              <w:rPr>
                <w:rFonts w:hint="eastAsia"/>
                <w:sz w:val="24"/>
              </w:rPr>
              <w:t>中国债券市场研究数据库</w:t>
            </w:r>
          </w:p>
        </w:tc>
      </w:tr>
      <w:tr w14:paraId="625A5242">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58D238FF">
            <w:pPr>
              <w:widowControl/>
              <w:jc w:val="center"/>
              <w:rPr>
                <w:sz w:val="24"/>
              </w:rPr>
            </w:pPr>
            <w:r>
              <w:rPr>
                <w:rFonts w:hint="eastAsia"/>
                <w:sz w:val="24"/>
              </w:rPr>
              <w:t>中国企业创新研究数据库</w:t>
            </w:r>
          </w:p>
        </w:tc>
      </w:tr>
      <w:tr w14:paraId="02EDB8EB">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650229F1">
            <w:pPr>
              <w:widowControl/>
              <w:jc w:val="center"/>
              <w:rPr>
                <w:sz w:val="24"/>
              </w:rPr>
            </w:pPr>
            <w:r>
              <w:rPr>
                <w:rFonts w:hint="eastAsia"/>
                <w:sz w:val="24"/>
              </w:rPr>
              <w:t>中国上市公司投资者关系数据库</w:t>
            </w:r>
          </w:p>
        </w:tc>
      </w:tr>
      <w:tr w14:paraId="132DB333">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3D29058A">
            <w:pPr>
              <w:widowControl/>
              <w:jc w:val="center"/>
              <w:rPr>
                <w:sz w:val="24"/>
              </w:rPr>
            </w:pPr>
            <w:r>
              <w:rPr>
                <w:rFonts w:hint="eastAsia"/>
                <w:sz w:val="24"/>
              </w:rPr>
              <w:t>中国天使投资研究数据库</w:t>
            </w:r>
          </w:p>
        </w:tc>
      </w:tr>
      <w:tr w14:paraId="6A5F7E10">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122144DC">
            <w:pPr>
              <w:widowControl/>
              <w:jc w:val="center"/>
              <w:rPr>
                <w:sz w:val="24"/>
              </w:rPr>
            </w:pPr>
            <w:r>
              <w:rPr>
                <w:rFonts w:hint="eastAsia"/>
                <w:sz w:val="24"/>
              </w:rPr>
              <w:t>中国银行体系研究数据库</w:t>
            </w:r>
          </w:p>
        </w:tc>
      </w:tr>
      <w:tr w14:paraId="117F8DFB">
        <w:tblPrEx>
          <w:tblCellMar>
            <w:top w:w="0" w:type="dxa"/>
            <w:left w:w="0" w:type="dxa"/>
            <w:bottom w:w="0" w:type="dxa"/>
            <w:right w:w="0"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14:paraId="08D87CD3">
            <w:pPr>
              <w:widowControl/>
              <w:jc w:val="center"/>
              <w:rPr>
                <w:sz w:val="24"/>
              </w:rPr>
            </w:pPr>
            <w:r>
              <w:rPr>
                <w:rFonts w:hint="eastAsia"/>
                <w:sz w:val="24"/>
              </w:rPr>
              <w:t>影子银行研究数据库</w:t>
            </w:r>
          </w:p>
        </w:tc>
      </w:tr>
    </w:tbl>
    <w:p w14:paraId="5936CEFF">
      <w:pPr>
        <w:pStyle w:val="3"/>
      </w:pPr>
      <w:r>
        <w:rPr>
          <w:rFonts w:hint="eastAsia"/>
        </w:rPr>
        <w:t>2</w:t>
      </w:r>
      <w:r>
        <w:t xml:space="preserve"> 使用说明</w:t>
      </w:r>
    </w:p>
    <w:p w14:paraId="41C633FC">
      <w:pPr>
        <w:spacing w:line="360" w:lineRule="auto"/>
        <w:ind w:firstLine="480" w:firstLineChars="200"/>
        <w:rPr>
          <w:rFonts w:ascii="宋体" w:hAnsi="宋体" w:cs="Arial"/>
          <w:color w:val="333333"/>
          <w:kern w:val="0"/>
          <w:sz w:val="24"/>
        </w:rPr>
      </w:pPr>
      <w:r>
        <w:rPr>
          <w:rFonts w:hint="eastAsia" w:ascii="宋体" w:hAnsi="宋体" w:cs="Arial"/>
          <w:color w:val="333333"/>
          <w:kern w:val="0"/>
          <w:sz w:val="24"/>
        </w:rPr>
        <w:t>可在学校图书馆官网-资源-数据库-按学科分类（经济/商业/管理）页面也查收，或者直接打开：</w:t>
      </w:r>
      <w:r>
        <w:fldChar w:fldCharType="begin"/>
      </w:r>
      <w:r>
        <w:instrText xml:space="preserve"> HYPERLINK "http://www.gtarsc.com" </w:instrText>
      </w:r>
      <w:r>
        <w:fldChar w:fldCharType="separate"/>
      </w:r>
      <w:r>
        <w:rPr>
          <w:rFonts w:ascii="宋体" w:hAnsi="宋体" w:cs="Arial"/>
          <w:color w:val="333333"/>
          <w:kern w:val="0"/>
        </w:rPr>
        <w:t>http://www.gtarsc.com</w:t>
      </w:r>
      <w:r>
        <w:rPr>
          <w:rFonts w:ascii="宋体" w:hAnsi="宋体" w:cs="Arial"/>
          <w:color w:val="333333"/>
          <w:kern w:val="0"/>
        </w:rPr>
        <w:fldChar w:fldCharType="end"/>
      </w:r>
      <w:r>
        <w:rPr>
          <w:rFonts w:ascii="宋体" w:hAnsi="宋体" w:cs="Arial"/>
          <w:color w:val="333333"/>
          <w:kern w:val="0"/>
          <w:sz w:val="24"/>
        </w:rPr>
        <w:t xml:space="preserve">     </w:t>
      </w:r>
      <w:r>
        <w:fldChar w:fldCharType="begin"/>
      </w:r>
      <w:r>
        <w:instrText xml:space="preserve"> HYPERLINK "http://cn.gtadata.com/" \t "_blank" </w:instrText>
      </w:r>
      <w:r>
        <w:fldChar w:fldCharType="separate"/>
      </w:r>
      <w:r>
        <w:rPr>
          <w:rFonts w:ascii="宋体" w:hAnsi="宋体" w:cs="Arial"/>
          <w:color w:val="333333"/>
          <w:kern w:val="0"/>
          <w:sz w:val="24"/>
        </w:rPr>
        <w:t>http://cn.gtadata.com</w:t>
      </w:r>
      <w:r>
        <w:rPr>
          <w:rFonts w:ascii="宋体" w:hAnsi="宋体" w:cs="Arial"/>
          <w:color w:val="333333"/>
          <w:kern w:val="0"/>
          <w:sz w:val="24"/>
        </w:rPr>
        <w:fldChar w:fldCharType="end"/>
      </w:r>
    </w:p>
    <w:p w14:paraId="12BD720E">
      <w:pPr>
        <w:spacing w:line="360" w:lineRule="auto"/>
        <w:ind w:firstLine="480" w:firstLineChars="200"/>
        <w:rPr>
          <w:sz w:val="24"/>
        </w:rPr>
      </w:pPr>
      <w:r>
        <w:rPr>
          <w:sz w:val="24"/>
        </w:rPr>
        <w:t>注</w:t>
      </w:r>
      <w:r>
        <w:rPr>
          <w:rFonts w:hint="eastAsia"/>
          <w:sz w:val="24"/>
        </w:rPr>
        <w:t>：限校园网范围内访问。（该数据库由我院和商学院共同引进）</w:t>
      </w:r>
    </w:p>
    <w:p w14:paraId="660C93B6">
      <w:pPr>
        <w:pStyle w:val="2"/>
        <w:rPr>
          <w:lang w:eastAsia="zh-CN"/>
        </w:rPr>
      </w:pPr>
      <w:r>
        <w:rPr>
          <w:rFonts w:hint="eastAsia"/>
          <w:lang w:eastAsia="zh-CN"/>
        </w:rPr>
        <w:t>十．</w:t>
      </w:r>
      <w:r>
        <w:rPr>
          <w:rFonts w:hint="eastAsia"/>
          <w:lang w:val="en-US" w:eastAsia="zh-CN"/>
        </w:rPr>
        <w:t>中国宏观经济</w:t>
      </w:r>
      <w:r>
        <w:rPr>
          <w:rFonts w:hint="eastAsia"/>
          <w:lang w:eastAsia="zh-CN"/>
        </w:rPr>
        <w:t>数据库（</w:t>
      </w:r>
      <w:r>
        <w:rPr>
          <w:rFonts w:hint="eastAsia"/>
          <w:lang w:val="en-US" w:eastAsia="zh-CN"/>
        </w:rPr>
        <w:t>中经网</w:t>
      </w:r>
      <w:r>
        <w:rPr>
          <w:rFonts w:hint="eastAsia"/>
          <w:lang w:eastAsia="zh-CN"/>
        </w:rPr>
        <w:t>）</w:t>
      </w:r>
    </w:p>
    <w:p w14:paraId="07CF6675">
      <w:pPr>
        <w:pStyle w:val="3"/>
      </w:pPr>
      <w:r>
        <w:rPr>
          <w:rFonts w:hint="eastAsia"/>
        </w:rPr>
        <w:t>1</w:t>
      </w:r>
      <w:r>
        <w:t xml:space="preserve"> 数据库介绍</w:t>
      </w:r>
    </w:p>
    <w:p w14:paraId="079A6FC2">
      <w:pPr>
        <w:widowControl/>
        <w:spacing w:line="293" w:lineRule="atLeast"/>
        <w:ind w:firstLine="480"/>
        <w:jc w:val="left"/>
        <w:rPr>
          <w:rFonts w:ascii="宋体" w:hAnsi="宋体" w:cs="Arial"/>
          <w:color w:val="333333"/>
          <w:kern w:val="0"/>
          <w:sz w:val="24"/>
        </w:rPr>
      </w:pPr>
      <w:r>
        <w:rPr>
          <w:rFonts w:hint="eastAsia" w:ascii="宋体" w:hAnsi="宋体" w:cs="Arial"/>
          <w:color w:val="333333"/>
          <w:kern w:val="0"/>
          <w:sz w:val="24"/>
        </w:rPr>
        <w:t xml:space="preserve">1.《中经网统计数据库》是一个经过专业化处理、组织而形成的综合经济数据库群。包括“中国经济统计数据库”7个子库和“世界经济统计数据库”2个子库，内容包括全国宏观月度库、全国宏观年度库、海关月度库、县域年度库、城市年度库、分省宏观月度库、分省宏观年度库、OECD月度库和OECD年度库等9个子库。内容涵盖宏观经济、行业经济、区域经济、世界经济等多个领域， </w:t>
      </w:r>
    </w:p>
    <w:p w14:paraId="0A4EAE88">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2. 全国宏观月度库，涵盖国民经济核算、财政、金融、贸易、投资、房地产、工业交通、物价工资共15个专题6000多项指标内容。</w:t>
      </w:r>
    </w:p>
    <w:p w14:paraId="0352E481">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3. 分省宏观月度库，提供31个省市区的月度和季度宏观经济效益指标；内容涉及国民经济核算、国内贸易、工业、投资、对外贸易等10多个专题2000多个指标；拥有自1992年至今的70000余条时间序列，适宜进行月度区域间经济发展状况比较分析。</w:t>
      </w:r>
    </w:p>
    <w:p w14:paraId="3BE06C34">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4. 海关月度库，提供以中国海关统计为基础的进出口月度统计数据；内容涉及分商品、分贸易、方式、分国家、分地区、分类章的进出口量值指标；以时间序列形式展现自1995年以来中国对外贸易的状况。</w:t>
      </w:r>
    </w:p>
    <w:p w14:paraId="76C1E317">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5. 全国宏观年度库，涵盖我国社会、经济发展共计23个大类专题，20000多个指标。提供以历年中国统计年鉴为基础的，反映国民经济和社会发展的20000多个指标。内容涉及经济景气、国民经核算、农业、工业、能源、投资、国内贸易、进出口、财政金融、环保、教育科技等23个大类专题；指标覆盖面广，历史数据追溯久，重要指标从1949年开始。</w:t>
      </w:r>
    </w:p>
    <w:p w14:paraId="31CC3617">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6. 分省宏观年度库，提供31个省市区的年度宏观经济统计指标；内容涉及国民经济核算、固定资产投资、人口就业、环保能源、交通邮电等17个专题；拥有近60000余条序列，适宜进行年度区域间经济发展状况比较分析。</w:t>
      </w:r>
    </w:p>
    <w:p w14:paraId="676C6517">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7. 城市年度库，提供以城市和区域统计年鉴为基础的，反映城市经济和社会发展状况的主要指标；内容涉及300余个城市，自1990年以来的经济和社会统计数据；地域范围广，指标全面，适宜做区域经济对比分析。</w:t>
      </w:r>
    </w:p>
    <w:p w14:paraId="7FB57064">
      <w:pPr>
        <w:widowControl/>
        <w:spacing w:line="293" w:lineRule="atLeast"/>
        <w:ind w:firstLine="480"/>
        <w:jc w:val="left"/>
        <w:rPr>
          <w:rFonts w:ascii="Arial" w:hAnsi="Arial" w:cs="Arial"/>
          <w:color w:val="333333"/>
          <w:kern w:val="0"/>
          <w:sz w:val="20"/>
          <w:szCs w:val="20"/>
        </w:rPr>
      </w:pPr>
      <w:r>
        <w:rPr>
          <w:rFonts w:hint="eastAsia" w:ascii="宋体" w:hAnsi="宋体" w:cs="Arial"/>
          <w:color w:val="333333"/>
          <w:kern w:val="0"/>
          <w:sz w:val="24"/>
        </w:rPr>
        <w:t>8. 县域年度库，涵盖全国2000多个县域单位的67000多个序列，内容包括国民经济核算、投资、财政金融、农业、工业等十几个专题，数据起始于2000年。</w:t>
      </w:r>
    </w:p>
    <w:p w14:paraId="175B7D85">
      <w:pPr>
        <w:widowControl/>
        <w:spacing w:line="293" w:lineRule="atLeast"/>
        <w:ind w:firstLine="480"/>
        <w:jc w:val="left"/>
      </w:pPr>
      <w:r>
        <w:rPr>
          <w:rFonts w:hint="eastAsia" w:ascii="宋体" w:hAnsi="宋体" w:cs="Arial"/>
          <w:color w:val="333333"/>
          <w:kern w:val="0"/>
          <w:sz w:val="24"/>
        </w:rPr>
        <w:t>9. 世界经济数据库（OECD月度库和年度库），涵盖34个OECD组织成员国、6个非成员国以及国际主要经济组织的宏观经济发展趋势，35000多个指标数据。数据库包含国际收支、国民账户、就业、生产、制造业、建筑业、价格、国内需求、金融、贸易、商业趋势调查、先行指标等三十个大类指标专题。数据来源于经济合作与发展组织。每月中旬更新。指标长度可追溯至1960年。国家之间具有可比性，可直接用于分析。</w:t>
      </w:r>
    </w:p>
    <w:p w14:paraId="622C4708">
      <w:pPr>
        <w:pStyle w:val="3"/>
      </w:pPr>
      <w:r>
        <w:rPr>
          <w:rFonts w:hint="eastAsia"/>
        </w:rPr>
        <w:t>2</w:t>
      </w:r>
      <w:r>
        <w:t xml:space="preserve">. </w:t>
      </w:r>
      <w:r>
        <w:rPr>
          <w:rFonts w:hint="eastAsia"/>
        </w:rPr>
        <w:t>使用说明</w:t>
      </w:r>
    </w:p>
    <w:p w14:paraId="074E338A">
      <w:pPr>
        <w:ind w:firstLine="480" w:firstLineChars="200"/>
      </w:pPr>
      <w:r>
        <w:rPr>
          <w:rFonts w:hint="eastAsia"/>
          <w:sz w:val="24"/>
          <w:lang w:val="en-US" w:eastAsia="zh-CN"/>
        </w:rPr>
        <w:t>校园网范围内使用。</w:t>
      </w:r>
      <w:r>
        <w:rPr>
          <w:rFonts w:hint="eastAsia" w:ascii="宋体" w:hAnsi="宋体" w:cs="Arial"/>
          <w:color w:val="333333"/>
          <w:kern w:val="0"/>
          <w:sz w:val="24"/>
        </w:rPr>
        <w:t>可在学校图书馆官网-资源-数据库-按学科分类（经济/商业/管理）页面也查收，或者直接打开：</w:t>
      </w:r>
      <w:r>
        <w:fldChar w:fldCharType="begin"/>
      </w:r>
      <w:r>
        <w:instrText xml:space="preserve"> HYPERLINK "https://db.cei.cn/jsps/Home" \t "_blank" </w:instrText>
      </w:r>
      <w:r>
        <w:fldChar w:fldCharType="separate"/>
      </w:r>
      <w:r>
        <w:rPr>
          <w:rStyle w:val="13"/>
          <w:rFonts w:ascii="Arial" w:hAnsi="Arial" w:cs="Arial"/>
          <w:color w:val="17181A"/>
          <w:sz w:val="20"/>
          <w:szCs w:val="20"/>
        </w:rPr>
        <w:t>https://db.cei.cn/jsps/Home</w:t>
      </w:r>
      <w:r>
        <w:rPr>
          <w:rStyle w:val="13"/>
          <w:rFonts w:ascii="Arial" w:hAnsi="Arial" w:cs="Arial"/>
          <w:color w:val="17181A"/>
          <w:sz w:val="20"/>
          <w:szCs w:val="20"/>
        </w:rPr>
        <w:fldChar w:fldCharType="end"/>
      </w:r>
    </w:p>
    <w:p w14:paraId="092CF41E">
      <w:pPr>
        <w:ind w:firstLine="480" w:firstLineChars="200"/>
      </w:pPr>
      <w:r>
        <w:rPr>
          <w:sz w:val="24"/>
        </w:rPr>
        <w:t>注</w:t>
      </w:r>
      <w:r>
        <w:rPr>
          <w:rFonts w:hint="eastAsia"/>
          <w:sz w:val="24"/>
        </w:rPr>
        <w:t>：限校园网范围内访问</w:t>
      </w:r>
    </w:p>
    <w:p w14:paraId="69FEB9A8">
      <w:pPr>
        <w:pStyle w:val="2"/>
        <w:rPr>
          <w:lang w:eastAsia="zh-CN"/>
        </w:rPr>
      </w:pPr>
      <w:r>
        <w:rPr>
          <w:rFonts w:hint="eastAsia"/>
          <w:lang w:eastAsia="zh-CN"/>
        </w:rPr>
        <w:t>十一．社会科学文献出版社皮书数据库</w:t>
      </w:r>
    </w:p>
    <w:p w14:paraId="0BC270EA">
      <w:pPr>
        <w:pStyle w:val="3"/>
      </w:pPr>
      <w:r>
        <w:rPr>
          <w:rFonts w:hint="eastAsia"/>
        </w:rPr>
        <w:t>1</w:t>
      </w:r>
      <w:r>
        <w:t xml:space="preserve"> 数据库介绍</w:t>
      </w:r>
    </w:p>
    <w:p w14:paraId="104388E7">
      <w:pPr>
        <w:spacing w:line="293" w:lineRule="atLeast"/>
        <w:ind w:firstLine="480"/>
        <w:rPr>
          <w:rFonts w:ascii="宋体" w:hAnsi="宋体" w:cs="Arial"/>
          <w:color w:val="333333"/>
          <w:kern w:val="0"/>
          <w:sz w:val="24"/>
        </w:rPr>
      </w:pPr>
      <w:r>
        <w:rPr>
          <w:rFonts w:hint="eastAsia" w:ascii="宋体" w:hAnsi="宋体" w:cs="Arial"/>
          <w:color w:val="333333"/>
          <w:kern w:val="0"/>
          <w:sz w:val="24"/>
        </w:rPr>
        <w:t>“皮书系列”是社会科学文献出版社打造的知名图书品牌，以客观专业的视角，连续对当下中国的发展状况和热点问题进行年度分析预测，研究内容主要涉及经济、社会政法、文化传媒、地方发展、行业、国际问题六大类。含6大基本子库：</w:t>
      </w:r>
    </w:p>
    <w:p w14:paraId="095C45BF">
      <w:pPr>
        <w:spacing w:line="293" w:lineRule="atLeast"/>
        <w:ind w:firstLine="480"/>
        <w:rPr>
          <w:rFonts w:ascii="宋体" w:hAnsi="宋体" w:cs="Arial"/>
          <w:color w:val="333333"/>
          <w:kern w:val="0"/>
          <w:sz w:val="24"/>
        </w:rPr>
      </w:pPr>
      <w:r>
        <w:rPr>
          <w:rFonts w:hint="eastAsia" w:ascii="宋体" w:hAnsi="宋体"/>
          <w:b/>
          <w:bCs/>
          <w:kern w:val="0"/>
          <w:sz w:val="24"/>
        </w:rPr>
        <w:t>中国社会发展数据库</w:t>
      </w:r>
      <w:r>
        <w:rPr>
          <w:rFonts w:hint="eastAsia" w:ascii="宋体" w:hAnsi="宋体" w:cs="Arial"/>
          <w:color w:val="333333"/>
          <w:kern w:val="0"/>
          <w:sz w:val="24"/>
        </w:rPr>
        <w:t>：紧扣人口、政治、外交、法律、教育、医疗卫生、资源环境等12个社会发展领域的前沿和热点，全面整合专业著作、智库报告、学术资讯、调研数据等，帮助用户追踪中国社会发展动态、研究社会发展战略与政策、了解社会热点问题、分析社会发展趋势。</w:t>
      </w:r>
    </w:p>
    <w:p w14:paraId="3D000BF5">
      <w:pPr>
        <w:spacing w:line="293" w:lineRule="atLeast"/>
        <w:ind w:firstLine="480"/>
        <w:rPr>
          <w:rFonts w:ascii="宋体" w:hAnsi="宋体" w:cs="Arial"/>
          <w:color w:val="333333"/>
          <w:kern w:val="0"/>
          <w:sz w:val="24"/>
        </w:rPr>
      </w:pPr>
      <w:r>
        <w:rPr>
          <w:rFonts w:hint="eastAsia" w:ascii="宋体" w:hAnsi="宋体"/>
          <w:b/>
          <w:bCs/>
          <w:kern w:val="0"/>
          <w:sz w:val="24"/>
        </w:rPr>
        <w:t>中国经济发展数据库</w:t>
      </w:r>
      <w:r>
        <w:rPr>
          <w:rFonts w:hint="eastAsia" w:ascii="宋体" w:hAnsi="宋体" w:cs="Arial"/>
          <w:color w:val="333333"/>
          <w:kern w:val="0"/>
          <w:sz w:val="24"/>
        </w:rPr>
        <w:t>：内容涵盖宏观经济、产业经济、工业经济、农业经济、财政金融、房地产经济、城市经济、商业贸易等12个重点经济领域，为把握经济运行态势、洞察经济发展规律、研判经济发展趋势、进行经济调控决策提供参考和依据。</w:t>
      </w:r>
    </w:p>
    <w:p w14:paraId="1C42CAAB">
      <w:pPr>
        <w:spacing w:line="293" w:lineRule="atLeast"/>
        <w:ind w:firstLine="480"/>
        <w:rPr>
          <w:rFonts w:ascii="宋体" w:hAnsi="宋体" w:cs="Arial"/>
          <w:color w:val="333333"/>
          <w:kern w:val="0"/>
          <w:sz w:val="24"/>
        </w:rPr>
      </w:pPr>
      <w:r>
        <w:rPr>
          <w:rFonts w:hint="eastAsia" w:ascii="宋体" w:hAnsi="宋体"/>
          <w:b/>
          <w:bCs/>
          <w:kern w:val="0"/>
          <w:sz w:val="24"/>
        </w:rPr>
        <w:t>中国行业发展数据库</w:t>
      </w:r>
      <w:r>
        <w:rPr>
          <w:rFonts w:hint="eastAsia" w:ascii="宋体" w:hAnsi="宋体" w:cs="Arial"/>
          <w:color w:val="333333"/>
          <w:kern w:val="0"/>
          <w:sz w:val="24"/>
        </w:rPr>
        <w:t>：以中国国民经济行业分类为依据，覆盖金融业、旅游业、交通运输业、能源矿产业、制造业等100多个行业，跟踪分析国民经济相关行业市场运行状况和政策导向，汇集行业发展前沿资讯，为投资、从业及各种经济决策提供理论支撑和实践指导。</w:t>
      </w:r>
    </w:p>
    <w:p w14:paraId="4BDB6A85">
      <w:pPr>
        <w:spacing w:line="293" w:lineRule="atLeast"/>
        <w:ind w:firstLine="480"/>
        <w:rPr>
          <w:rFonts w:ascii="宋体" w:hAnsi="宋体" w:cs="Arial"/>
          <w:color w:val="333333"/>
          <w:kern w:val="0"/>
          <w:sz w:val="24"/>
        </w:rPr>
      </w:pPr>
      <w:r>
        <w:rPr>
          <w:rFonts w:hint="eastAsia" w:ascii="宋体" w:hAnsi="宋体"/>
          <w:b/>
          <w:bCs/>
          <w:kern w:val="0"/>
          <w:sz w:val="24"/>
        </w:rPr>
        <w:t>中国区域发展数据库</w:t>
      </w:r>
      <w:r>
        <w:rPr>
          <w:rFonts w:hint="eastAsia" w:ascii="宋体" w:hAnsi="宋体" w:cs="Arial"/>
          <w:color w:val="333333"/>
          <w:kern w:val="0"/>
          <w:sz w:val="24"/>
        </w:rPr>
        <w:t>：对中国特定区域内的经济、社会、文化等领域现状与发展情况进行深度分析和预测，涉及省级行政区、城市群、城市、农村不同维度，研究层级至县及县以下行政区，为学者研究地方经济社会宏观态势、经验模式、发展案例提供支撑，为地方政府决策提供参考。</w:t>
      </w:r>
    </w:p>
    <w:p w14:paraId="64F15E1E">
      <w:pPr>
        <w:spacing w:line="293" w:lineRule="atLeast"/>
        <w:ind w:firstLine="480"/>
        <w:rPr>
          <w:rFonts w:ascii="宋体" w:hAnsi="宋体" w:cs="Arial"/>
          <w:color w:val="333333"/>
          <w:kern w:val="0"/>
          <w:sz w:val="24"/>
        </w:rPr>
      </w:pPr>
      <w:r>
        <w:rPr>
          <w:rFonts w:hint="eastAsia" w:ascii="宋体" w:hAnsi="宋体"/>
          <w:b/>
          <w:bCs/>
          <w:kern w:val="0"/>
          <w:sz w:val="24"/>
        </w:rPr>
        <w:t>中国文化传媒数据库</w:t>
      </w:r>
      <w:r>
        <w:rPr>
          <w:rFonts w:hint="eastAsia" w:ascii="宋体" w:hAnsi="宋体" w:cs="Arial"/>
          <w:color w:val="333333"/>
          <w:kern w:val="0"/>
          <w:sz w:val="24"/>
        </w:rPr>
        <w:t>：内容覆盖文化产业、新闻传播、电影娱乐、文学艺术、群众文化、图书情报等18个重点研究领域，聚焦文化传媒领域发展前沿、热点话题、行业实践，服务用户教学科研、文化投资、企业规划等需要。</w:t>
      </w:r>
    </w:p>
    <w:p w14:paraId="6EA95E8E">
      <w:pPr>
        <w:spacing w:line="293" w:lineRule="atLeast"/>
        <w:ind w:firstLine="480"/>
        <w:rPr>
          <w:rFonts w:ascii="Arial" w:hAnsi="Arial" w:cs="Arial"/>
          <w:color w:val="333333"/>
          <w:sz w:val="20"/>
          <w:szCs w:val="20"/>
        </w:rPr>
      </w:pPr>
      <w:r>
        <w:rPr>
          <w:rFonts w:hint="eastAsia" w:ascii="宋体" w:hAnsi="宋体"/>
          <w:b/>
          <w:bCs/>
          <w:kern w:val="0"/>
          <w:sz w:val="24"/>
        </w:rPr>
        <w:t>世界经济与国际关系数据库</w:t>
      </w:r>
      <w:r>
        <w:rPr>
          <w:rFonts w:hint="eastAsia" w:ascii="宋体" w:hAnsi="宋体" w:cs="Arial"/>
          <w:color w:val="333333"/>
          <w:kern w:val="0"/>
          <w:sz w:val="24"/>
        </w:rPr>
        <w:t>：整合世界经济、国际政治、世界文化与科技、全球性问题、国际组织与国际法、区域研究6大领域研究成果，对世界经济形势、国际形势进行连续性深度分析，对年度热点问题进行专题解读，为研判全球发展趋势提供事实和数据支持。</w:t>
      </w:r>
    </w:p>
    <w:p w14:paraId="330C390C">
      <w:pPr>
        <w:pStyle w:val="3"/>
      </w:pPr>
      <w:r>
        <w:rPr>
          <w:rFonts w:hint="eastAsia"/>
        </w:rPr>
        <w:t>2</w:t>
      </w:r>
      <w:r>
        <w:t xml:space="preserve">. </w:t>
      </w:r>
      <w:r>
        <w:rPr>
          <w:rFonts w:hint="eastAsia"/>
        </w:rPr>
        <w:t>使用说明</w:t>
      </w:r>
    </w:p>
    <w:p w14:paraId="226667F9">
      <w:pPr>
        <w:ind w:firstLine="480" w:firstLineChars="200"/>
      </w:pPr>
      <w:r>
        <w:rPr>
          <w:rFonts w:hint="eastAsia"/>
          <w:sz w:val="24"/>
          <w:lang w:val="en-US" w:eastAsia="zh-CN"/>
        </w:rPr>
        <w:t>校园网范围内使用。</w:t>
      </w:r>
      <w:r>
        <w:rPr>
          <w:rFonts w:hint="eastAsia" w:ascii="宋体" w:hAnsi="宋体" w:cs="Arial"/>
          <w:color w:val="333333"/>
          <w:kern w:val="0"/>
          <w:sz w:val="24"/>
        </w:rPr>
        <w:t>可在学校图书馆官网-资源-数据库-按学科分类（经济/商业/管理）页面也查收，或者直接打开：</w:t>
      </w:r>
      <w:r>
        <w:fldChar w:fldCharType="begin"/>
      </w:r>
      <w:r>
        <w:instrText xml:space="preserve"> HYPERLINK "https://www.pishu.com.cn" </w:instrText>
      </w:r>
      <w:r>
        <w:fldChar w:fldCharType="separate"/>
      </w:r>
      <w:r>
        <w:rPr>
          <w:rStyle w:val="13"/>
          <w:rFonts w:ascii="Arial" w:hAnsi="Arial" w:cs="Arial"/>
          <w:sz w:val="20"/>
          <w:szCs w:val="20"/>
        </w:rPr>
        <w:t>https://www.pishu.com.cn</w:t>
      </w:r>
      <w:r>
        <w:rPr>
          <w:rStyle w:val="13"/>
          <w:rFonts w:ascii="Arial" w:hAnsi="Arial" w:cs="Arial"/>
          <w:sz w:val="20"/>
          <w:szCs w:val="20"/>
        </w:rPr>
        <w:fldChar w:fldCharType="end"/>
      </w:r>
    </w:p>
    <w:p w14:paraId="1E42E5DF">
      <w:pPr>
        <w:ind w:firstLine="480" w:firstLineChars="200"/>
      </w:pPr>
      <w:r>
        <w:rPr>
          <w:sz w:val="24"/>
        </w:rPr>
        <w:t>注</w:t>
      </w:r>
      <w:r>
        <w:rPr>
          <w:rFonts w:hint="eastAsia"/>
          <w:sz w:val="24"/>
        </w:rPr>
        <w:t>：限校园网范围内访问</w:t>
      </w:r>
    </w:p>
    <w:p w14:paraId="328A1D6B">
      <w:pPr>
        <w:ind w:firstLine="420" w:firstLineChars="200"/>
      </w:pPr>
    </w:p>
    <w:p w14:paraId="797104A3">
      <w:pPr>
        <w:spacing w:line="360" w:lineRule="auto"/>
        <w:rPr>
          <w:rFonts w:eastAsia="黑体"/>
          <w:b/>
          <w:bCs/>
          <w:sz w:val="28"/>
          <w:szCs w:val="32"/>
          <w:highlight w:val="none"/>
          <w:lang w:val="zh-CN"/>
        </w:rPr>
      </w:pPr>
      <w:r>
        <w:rPr>
          <w:rFonts w:hint="eastAsia" w:eastAsia="黑体"/>
          <w:b/>
          <w:bCs/>
          <w:sz w:val="28"/>
          <w:szCs w:val="32"/>
          <w:lang w:val="zh-CN"/>
        </w:rPr>
        <w:t>十二．</w:t>
      </w:r>
      <w:r>
        <w:rPr>
          <w:rFonts w:hint="eastAsia" w:eastAsia="黑体"/>
          <w:b/>
          <w:bCs/>
          <w:sz w:val="28"/>
          <w:szCs w:val="32"/>
          <w:highlight w:val="none"/>
          <w:lang w:val="zh-CN"/>
        </w:rPr>
        <w:t>青梨科研服务平台</w:t>
      </w:r>
    </w:p>
    <w:p w14:paraId="7A1DAE0E">
      <w:pPr>
        <w:pStyle w:val="3"/>
      </w:pPr>
      <w:bookmarkStart w:id="19" w:name="_Toc51663917"/>
      <w:r>
        <w:rPr>
          <w:rFonts w:hint="eastAsia"/>
        </w:rPr>
        <w:t>1</w:t>
      </w:r>
      <w:r>
        <w:t xml:space="preserve"> 数据库介绍</w:t>
      </w:r>
    </w:p>
    <w:p w14:paraId="42DC2384">
      <w:pPr>
        <w:pStyle w:val="18"/>
        <w:numPr>
          <w:ilvl w:val="0"/>
          <w:numId w:val="5"/>
        </w:numPr>
        <w:ind w:firstLineChars="0"/>
        <w:rPr>
          <w:rFonts w:ascii="宋体" w:hAnsi="宋体" w:cs="Arial"/>
          <w:color w:val="333333"/>
          <w:kern w:val="0"/>
          <w:sz w:val="24"/>
        </w:rPr>
      </w:pPr>
      <w:r>
        <w:rPr>
          <w:rFonts w:hint="eastAsia" w:ascii="宋体" w:hAnsi="宋体" w:cs="Arial"/>
          <w:color w:val="333333"/>
          <w:kern w:val="0"/>
          <w:sz w:val="24"/>
        </w:rPr>
        <w:t>中外文各类学术文献的传送服务（涵盖常用中外文期刊、图书、学位论文及SCI/SSCI期刊等。）</w:t>
      </w:r>
    </w:p>
    <w:p w14:paraId="183B7E9D">
      <w:pPr>
        <w:numPr>
          <w:ilvl w:val="0"/>
          <w:numId w:val="5"/>
        </w:numPr>
        <w:ind w:firstLine="420"/>
        <w:rPr>
          <w:rFonts w:ascii="宋体" w:hAnsi="宋体" w:cs="Arial"/>
          <w:color w:val="333333"/>
          <w:kern w:val="0"/>
          <w:sz w:val="24"/>
        </w:rPr>
      </w:pPr>
      <w:r>
        <w:rPr>
          <w:rFonts w:hint="eastAsia" w:ascii="宋体" w:hAnsi="宋体" w:cs="Arial"/>
          <w:color w:val="333333"/>
          <w:kern w:val="0"/>
          <w:sz w:val="24"/>
        </w:rPr>
        <w:t>学科专题经典内容推荐</w:t>
      </w:r>
    </w:p>
    <w:p w14:paraId="3B8FFF0A">
      <w:pPr>
        <w:numPr>
          <w:ilvl w:val="0"/>
          <w:numId w:val="5"/>
        </w:numPr>
        <w:ind w:firstLine="420"/>
        <w:rPr>
          <w:rFonts w:ascii="宋体" w:hAnsi="宋体" w:cs="Arial"/>
          <w:color w:val="333333"/>
          <w:kern w:val="0"/>
          <w:sz w:val="24"/>
        </w:rPr>
      </w:pPr>
      <w:r>
        <w:rPr>
          <w:rFonts w:hint="eastAsia" w:ascii="宋体" w:hAnsi="宋体" w:cs="Arial"/>
          <w:color w:val="333333"/>
          <w:kern w:val="0"/>
          <w:sz w:val="24"/>
        </w:rPr>
        <w:t>选刊、投稿发文指导</w:t>
      </w:r>
    </w:p>
    <w:p w14:paraId="3D3CA975">
      <w:pPr>
        <w:numPr>
          <w:ilvl w:val="0"/>
          <w:numId w:val="5"/>
        </w:numPr>
        <w:ind w:firstLine="420"/>
        <w:rPr>
          <w:rFonts w:ascii="宋体" w:hAnsi="宋体" w:cs="Arial"/>
          <w:color w:val="333333"/>
          <w:kern w:val="0"/>
          <w:sz w:val="24"/>
        </w:rPr>
      </w:pPr>
      <w:r>
        <w:rPr>
          <w:rFonts w:hint="eastAsia" w:ascii="宋体" w:hAnsi="宋体" w:cs="Arial"/>
          <w:color w:val="333333"/>
          <w:kern w:val="0"/>
          <w:sz w:val="24"/>
        </w:rPr>
        <w:t>Turnitin外文论文查重服务</w:t>
      </w:r>
    </w:p>
    <w:p w14:paraId="2F45E3A5">
      <w:pPr>
        <w:numPr>
          <w:ilvl w:val="0"/>
          <w:numId w:val="5"/>
        </w:numPr>
        <w:ind w:firstLine="420"/>
        <w:rPr>
          <w:rFonts w:ascii="宋体" w:hAnsi="宋体" w:cs="Arial"/>
          <w:color w:val="333333"/>
          <w:kern w:val="0"/>
          <w:sz w:val="24"/>
        </w:rPr>
      </w:pPr>
      <w:r>
        <w:rPr>
          <w:rFonts w:hint="eastAsia" w:ascii="宋体" w:hAnsi="宋体" w:cs="Arial"/>
          <w:color w:val="333333"/>
          <w:kern w:val="0"/>
          <w:sz w:val="24"/>
        </w:rPr>
        <w:t>Grammarly语法校对检测服务</w:t>
      </w:r>
    </w:p>
    <w:p w14:paraId="0CC25D12">
      <w:pPr>
        <w:pStyle w:val="18"/>
        <w:numPr>
          <w:ilvl w:val="0"/>
          <w:numId w:val="5"/>
        </w:numPr>
        <w:ind w:firstLineChars="0"/>
        <w:rPr>
          <w:rFonts w:ascii="宋体" w:hAnsi="宋体" w:cs="Arial"/>
          <w:color w:val="333333"/>
          <w:kern w:val="0"/>
          <w:sz w:val="24"/>
        </w:rPr>
      </w:pPr>
      <w:r>
        <w:rPr>
          <w:rFonts w:hint="eastAsia" w:ascii="宋体" w:hAnsi="宋体" w:cs="Arial"/>
          <w:color w:val="333333"/>
          <w:kern w:val="0"/>
          <w:sz w:val="24"/>
        </w:rPr>
        <w:t>专门订购15种经济学期刊推送，将于刊物更新后进行主动推送，在群内注册青梨后即可查阅。刊物列表如下：</w:t>
      </w:r>
    </w:p>
    <w:p w14:paraId="6A39E588">
      <w:pPr>
        <w:rPr>
          <w:rFonts w:ascii="宋体" w:hAnsi="宋体" w:cs="Arial"/>
          <w:color w:val="333333"/>
          <w:kern w:val="0"/>
          <w:sz w:val="24"/>
        </w:rPr>
      </w:pPr>
      <w:r>
        <w:rPr>
          <w:rFonts w:hint="eastAsia" w:ascii="宋体" w:hAnsi="宋体" w:cs="Arial"/>
          <w:color w:val="333333"/>
          <w:kern w:val="0"/>
          <w:sz w:val="24"/>
        </w:rPr>
        <w:t xml:space="preserve"> </w:t>
      </w:r>
      <w:r>
        <w:rPr>
          <w:rFonts w:ascii="宋体" w:hAnsi="宋体" w:cs="Arial"/>
          <w:color w:val="333333"/>
          <w:kern w:val="0"/>
          <w:sz w:val="24"/>
        </w:rPr>
        <w:t xml:space="preserve">   </w:t>
      </w:r>
    </w:p>
    <w:tbl>
      <w:tblPr>
        <w:tblStyle w:val="9"/>
        <w:tblW w:w="5102" w:type="dxa"/>
        <w:jc w:val="center"/>
        <w:tblLayout w:type="fixed"/>
        <w:tblCellMar>
          <w:top w:w="0" w:type="dxa"/>
          <w:left w:w="108" w:type="dxa"/>
          <w:bottom w:w="0" w:type="dxa"/>
          <w:right w:w="108" w:type="dxa"/>
        </w:tblCellMar>
      </w:tblPr>
      <w:tblGrid>
        <w:gridCol w:w="1277"/>
        <w:gridCol w:w="3825"/>
      </w:tblGrid>
      <w:tr w14:paraId="3E5B3C3E">
        <w:tblPrEx>
          <w:tblCellMar>
            <w:top w:w="0" w:type="dxa"/>
            <w:left w:w="108" w:type="dxa"/>
            <w:bottom w:w="0" w:type="dxa"/>
            <w:right w:w="108" w:type="dxa"/>
          </w:tblCellMar>
        </w:tblPrEx>
        <w:trPr>
          <w:trHeight w:val="90" w:hRule="atLeast"/>
          <w:jc w:val="center"/>
        </w:trPr>
        <w:tc>
          <w:tcPr>
            <w:tcW w:w="1277"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0B6713A4">
            <w:pPr>
              <w:widowControl/>
              <w:jc w:val="center"/>
              <w:textAlignment w:val="bottom"/>
              <w:rPr>
                <w:rFonts w:ascii="宋体" w:hAnsi="宋体" w:cs="Arial"/>
                <w:color w:val="333333"/>
                <w:kern w:val="0"/>
                <w:sz w:val="24"/>
              </w:rPr>
            </w:pPr>
            <w:r>
              <w:rPr>
                <w:rFonts w:hint="eastAsia" w:ascii="宋体" w:hAnsi="宋体" w:cs="Arial"/>
                <w:color w:val="333333"/>
                <w:kern w:val="0"/>
                <w:sz w:val="24"/>
              </w:rPr>
              <w:t>序号</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5DA99FE7">
            <w:pPr>
              <w:widowControl/>
              <w:jc w:val="center"/>
              <w:textAlignment w:val="bottom"/>
              <w:rPr>
                <w:rFonts w:ascii="宋体" w:hAnsi="宋体" w:cs="Arial"/>
                <w:color w:val="333333"/>
                <w:kern w:val="0"/>
                <w:sz w:val="24"/>
              </w:rPr>
            </w:pPr>
            <w:r>
              <w:rPr>
                <w:rFonts w:hint="eastAsia" w:ascii="宋体" w:hAnsi="宋体" w:cs="Arial"/>
                <w:color w:val="333333"/>
                <w:kern w:val="0"/>
                <w:sz w:val="24"/>
              </w:rPr>
              <w:t>刊名</w:t>
            </w:r>
          </w:p>
        </w:tc>
      </w:tr>
      <w:tr w14:paraId="3B26DEC4">
        <w:tblPrEx>
          <w:tblCellMar>
            <w:top w:w="0" w:type="dxa"/>
            <w:left w:w="108" w:type="dxa"/>
            <w:bottom w:w="0" w:type="dxa"/>
            <w:right w:w="108" w:type="dxa"/>
          </w:tblCellMar>
        </w:tblPrEx>
        <w:trPr>
          <w:trHeight w:val="540" w:hRule="atLeast"/>
          <w:jc w:val="center"/>
        </w:trPr>
        <w:tc>
          <w:tcPr>
            <w:tcW w:w="1277" w:type="dxa"/>
            <w:tcBorders>
              <w:top w:val="single" w:color="000000" w:sz="4" w:space="0"/>
              <w:left w:val="single" w:color="000000" w:sz="4" w:space="0"/>
              <w:bottom w:val="nil"/>
              <w:right w:val="single" w:color="000000" w:sz="4" w:space="0"/>
            </w:tcBorders>
            <w:shd w:val="clear" w:color="auto" w:fill="FFFFFF"/>
            <w:vAlign w:val="bottom"/>
          </w:tcPr>
          <w:p w14:paraId="00117AC3">
            <w:pPr>
              <w:widowControl/>
              <w:jc w:val="center"/>
              <w:textAlignment w:val="bottom"/>
              <w:rPr>
                <w:rFonts w:ascii="宋体" w:hAnsi="宋体" w:cs="Arial"/>
                <w:color w:val="333333"/>
                <w:kern w:val="0"/>
                <w:sz w:val="24"/>
              </w:rPr>
            </w:pPr>
            <w:r>
              <w:rPr>
                <w:rFonts w:hint="eastAsia" w:ascii="宋体" w:hAnsi="宋体" w:cs="Arial"/>
                <w:color w:val="333333"/>
                <w:kern w:val="0"/>
                <w:sz w:val="24"/>
              </w:rPr>
              <w:t>1</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4060EA37">
            <w:pPr>
              <w:widowControl/>
              <w:jc w:val="left"/>
              <w:textAlignment w:val="bottom"/>
              <w:rPr>
                <w:rFonts w:ascii="宋体" w:hAnsi="宋体" w:cs="Arial"/>
                <w:color w:val="333333"/>
                <w:kern w:val="0"/>
                <w:sz w:val="24"/>
              </w:rPr>
            </w:pPr>
            <w:r>
              <w:rPr>
                <w:rFonts w:hint="eastAsia" w:ascii="宋体" w:hAnsi="宋体" w:cs="Arial"/>
                <w:color w:val="333333"/>
                <w:kern w:val="0"/>
                <w:sz w:val="24"/>
              </w:rPr>
              <w:t>QUARTERLY JOURNAL OF ECONOMICS</w:t>
            </w:r>
          </w:p>
        </w:tc>
      </w:tr>
      <w:tr w14:paraId="569BCD97">
        <w:tblPrEx>
          <w:tblCellMar>
            <w:top w:w="0" w:type="dxa"/>
            <w:left w:w="108" w:type="dxa"/>
            <w:bottom w:w="0" w:type="dxa"/>
            <w:right w:w="108" w:type="dxa"/>
          </w:tblCellMar>
        </w:tblPrEx>
        <w:trPr>
          <w:trHeight w:val="635" w:hRule="atLeast"/>
          <w:jc w:val="center"/>
        </w:trPr>
        <w:tc>
          <w:tcPr>
            <w:tcW w:w="1277"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119405FE">
            <w:pPr>
              <w:widowControl/>
              <w:jc w:val="center"/>
              <w:textAlignment w:val="bottom"/>
              <w:rPr>
                <w:rFonts w:ascii="宋体" w:hAnsi="宋体" w:cs="Arial"/>
                <w:color w:val="333333"/>
                <w:kern w:val="0"/>
                <w:sz w:val="24"/>
              </w:rPr>
            </w:pPr>
            <w:r>
              <w:rPr>
                <w:rFonts w:hint="eastAsia" w:ascii="宋体" w:hAnsi="宋体" w:cs="Arial"/>
                <w:color w:val="333333"/>
                <w:kern w:val="0"/>
                <w:sz w:val="24"/>
              </w:rPr>
              <w:t>2</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103AE228">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POLITICAL ECONOMY</w:t>
            </w:r>
          </w:p>
        </w:tc>
      </w:tr>
      <w:tr w14:paraId="59F43DFB">
        <w:tblPrEx>
          <w:tblCellMar>
            <w:top w:w="0" w:type="dxa"/>
            <w:left w:w="108" w:type="dxa"/>
            <w:bottom w:w="0" w:type="dxa"/>
            <w:right w:w="108" w:type="dxa"/>
          </w:tblCellMar>
        </w:tblPrEx>
        <w:trPr>
          <w:trHeight w:val="540" w:hRule="atLeast"/>
          <w:jc w:val="center"/>
        </w:trPr>
        <w:tc>
          <w:tcPr>
            <w:tcW w:w="1277" w:type="dxa"/>
            <w:tcBorders>
              <w:top w:val="single" w:color="000000" w:sz="4" w:space="0"/>
              <w:left w:val="single" w:color="000000" w:sz="4" w:space="0"/>
              <w:bottom w:val="nil"/>
              <w:right w:val="single" w:color="000000" w:sz="4" w:space="0"/>
            </w:tcBorders>
            <w:shd w:val="clear" w:color="auto" w:fill="FFFFFF"/>
            <w:vAlign w:val="bottom"/>
          </w:tcPr>
          <w:p w14:paraId="77DA1831">
            <w:pPr>
              <w:widowControl/>
              <w:jc w:val="center"/>
              <w:textAlignment w:val="bottom"/>
              <w:rPr>
                <w:rFonts w:ascii="宋体" w:hAnsi="宋体" w:cs="Arial"/>
                <w:color w:val="333333"/>
                <w:kern w:val="0"/>
                <w:sz w:val="24"/>
              </w:rPr>
            </w:pPr>
            <w:r>
              <w:rPr>
                <w:rFonts w:hint="eastAsia" w:ascii="宋体" w:hAnsi="宋体" w:cs="Arial"/>
                <w:color w:val="333333"/>
                <w:kern w:val="0"/>
                <w:sz w:val="24"/>
              </w:rPr>
              <w:t>3</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2C5CE5E5">
            <w:pPr>
              <w:widowControl/>
              <w:jc w:val="left"/>
              <w:textAlignment w:val="bottom"/>
              <w:rPr>
                <w:rFonts w:ascii="宋体" w:hAnsi="宋体" w:cs="Arial"/>
                <w:color w:val="333333"/>
                <w:kern w:val="0"/>
                <w:sz w:val="24"/>
              </w:rPr>
            </w:pPr>
            <w:r>
              <w:rPr>
                <w:rFonts w:hint="eastAsia" w:ascii="宋体" w:hAnsi="宋体" w:cs="Arial"/>
                <w:color w:val="333333"/>
                <w:kern w:val="0"/>
                <w:sz w:val="24"/>
              </w:rPr>
              <w:t>REVIEW OF ECONOMIC STUDIES</w:t>
            </w:r>
          </w:p>
        </w:tc>
      </w:tr>
      <w:tr w14:paraId="4FCAB90E">
        <w:tblPrEx>
          <w:tblCellMar>
            <w:top w:w="0" w:type="dxa"/>
            <w:left w:w="108" w:type="dxa"/>
            <w:bottom w:w="0" w:type="dxa"/>
            <w:right w:w="108" w:type="dxa"/>
          </w:tblCellMar>
        </w:tblPrEx>
        <w:trPr>
          <w:trHeight w:val="540" w:hRule="atLeast"/>
          <w:jc w:val="center"/>
        </w:trPr>
        <w:tc>
          <w:tcPr>
            <w:tcW w:w="1277" w:type="dxa"/>
            <w:tcBorders>
              <w:top w:val="single" w:color="000000" w:sz="4" w:space="0"/>
              <w:left w:val="single" w:color="000000" w:sz="4" w:space="0"/>
              <w:bottom w:val="nil"/>
              <w:right w:val="single" w:color="000000" w:sz="4" w:space="0"/>
            </w:tcBorders>
            <w:shd w:val="clear" w:color="auto" w:fill="FFFFFF"/>
            <w:vAlign w:val="bottom"/>
          </w:tcPr>
          <w:p w14:paraId="36B262B8">
            <w:pPr>
              <w:widowControl/>
              <w:jc w:val="center"/>
              <w:textAlignment w:val="bottom"/>
              <w:rPr>
                <w:rFonts w:ascii="宋体" w:hAnsi="宋体" w:cs="Arial"/>
                <w:color w:val="333333"/>
                <w:kern w:val="0"/>
                <w:sz w:val="24"/>
              </w:rPr>
            </w:pPr>
            <w:r>
              <w:rPr>
                <w:rFonts w:hint="eastAsia" w:ascii="宋体" w:hAnsi="宋体" w:cs="Arial"/>
                <w:color w:val="333333"/>
                <w:kern w:val="0"/>
                <w:sz w:val="24"/>
              </w:rPr>
              <w:t>4</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62385325">
            <w:pPr>
              <w:widowControl/>
              <w:jc w:val="left"/>
              <w:textAlignment w:val="bottom"/>
              <w:rPr>
                <w:rFonts w:ascii="宋体" w:hAnsi="宋体" w:cs="Arial"/>
                <w:color w:val="333333"/>
                <w:kern w:val="0"/>
                <w:sz w:val="24"/>
              </w:rPr>
            </w:pPr>
            <w:r>
              <w:rPr>
                <w:rFonts w:hint="eastAsia" w:ascii="宋体" w:hAnsi="宋体" w:cs="Arial"/>
                <w:color w:val="333333"/>
                <w:kern w:val="0"/>
                <w:sz w:val="24"/>
              </w:rPr>
              <w:t>ECONOMETRICA</w:t>
            </w:r>
          </w:p>
        </w:tc>
      </w:tr>
      <w:tr w14:paraId="2F6CE076">
        <w:tblPrEx>
          <w:tblCellMar>
            <w:top w:w="0" w:type="dxa"/>
            <w:left w:w="108" w:type="dxa"/>
            <w:bottom w:w="0" w:type="dxa"/>
            <w:right w:w="108" w:type="dxa"/>
          </w:tblCellMar>
        </w:tblPrEx>
        <w:trPr>
          <w:trHeight w:val="485" w:hRule="atLeast"/>
          <w:jc w:val="center"/>
        </w:trPr>
        <w:tc>
          <w:tcPr>
            <w:tcW w:w="1277"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0BD3F6C0">
            <w:pPr>
              <w:widowControl/>
              <w:jc w:val="center"/>
              <w:textAlignment w:val="bottom"/>
              <w:rPr>
                <w:rFonts w:ascii="宋体" w:hAnsi="宋体" w:cs="Arial"/>
                <w:color w:val="333333"/>
                <w:kern w:val="0"/>
                <w:sz w:val="24"/>
              </w:rPr>
            </w:pPr>
            <w:r>
              <w:rPr>
                <w:rFonts w:hint="eastAsia" w:ascii="宋体" w:hAnsi="宋体" w:cs="Arial"/>
                <w:color w:val="333333"/>
                <w:kern w:val="0"/>
                <w:sz w:val="24"/>
              </w:rPr>
              <w:t>5</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031F1469">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LABOR ECONOMICS</w:t>
            </w:r>
          </w:p>
        </w:tc>
      </w:tr>
      <w:tr w14:paraId="36040CFD">
        <w:tblPrEx>
          <w:tblCellMar>
            <w:top w:w="0" w:type="dxa"/>
            <w:left w:w="108" w:type="dxa"/>
            <w:bottom w:w="0" w:type="dxa"/>
            <w:right w:w="108" w:type="dxa"/>
          </w:tblCellMar>
        </w:tblPrEx>
        <w:trPr>
          <w:trHeight w:val="540" w:hRule="atLeast"/>
          <w:jc w:val="center"/>
        </w:trPr>
        <w:tc>
          <w:tcPr>
            <w:tcW w:w="1277" w:type="dxa"/>
            <w:tcBorders>
              <w:top w:val="single" w:color="000000" w:sz="4" w:space="0"/>
              <w:left w:val="single" w:color="000000" w:sz="4" w:space="0"/>
              <w:bottom w:val="nil"/>
              <w:right w:val="single" w:color="000000" w:sz="4" w:space="0"/>
            </w:tcBorders>
            <w:shd w:val="clear" w:color="auto" w:fill="FFFFFF"/>
            <w:vAlign w:val="bottom"/>
          </w:tcPr>
          <w:p w14:paraId="3D091B2A">
            <w:pPr>
              <w:widowControl/>
              <w:jc w:val="center"/>
              <w:textAlignment w:val="bottom"/>
              <w:rPr>
                <w:rFonts w:ascii="宋体" w:hAnsi="宋体" w:cs="Arial"/>
                <w:color w:val="333333"/>
                <w:kern w:val="0"/>
                <w:sz w:val="24"/>
              </w:rPr>
            </w:pPr>
            <w:r>
              <w:rPr>
                <w:rFonts w:hint="eastAsia" w:ascii="宋体" w:hAnsi="宋体" w:cs="Arial"/>
                <w:color w:val="333333"/>
                <w:kern w:val="0"/>
                <w:sz w:val="24"/>
              </w:rPr>
              <w:t>6</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2076BDF8">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FINANCE</w:t>
            </w:r>
          </w:p>
        </w:tc>
      </w:tr>
      <w:tr w14:paraId="0632958E">
        <w:tblPrEx>
          <w:tblCellMar>
            <w:top w:w="0" w:type="dxa"/>
            <w:left w:w="108" w:type="dxa"/>
            <w:bottom w:w="0" w:type="dxa"/>
            <w:right w:w="108" w:type="dxa"/>
          </w:tblCellMar>
        </w:tblPrEx>
        <w:trPr>
          <w:trHeight w:val="540" w:hRule="atLeast"/>
          <w:jc w:val="center"/>
        </w:trPr>
        <w:tc>
          <w:tcPr>
            <w:tcW w:w="1277" w:type="dxa"/>
            <w:tcBorders>
              <w:top w:val="single" w:color="000000" w:sz="4" w:space="0"/>
              <w:left w:val="single" w:color="000000" w:sz="4" w:space="0"/>
              <w:bottom w:val="nil"/>
              <w:right w:val="single" w:color="000000" w:sz="4" w:space="0"/>
            </w:tcBorders>
            <w:shd w:val="clear" w:color="auto" w:fill="FFFFFF"/>
            <w:vAlign w:val="bottom"/>
          </w:tcPr>
          <w:p w14:paraId="347ACCA4">
            <w:pPr>
              <w:widowControl/>
              <w:jc w:val="center"/>
              <w:textAlignment w:val="bottom"/>
              <w:rPr>
                <w:rFonts w:ascii="宋体" w:hAnsi="宋体" w:cs="Arial"/>
                <w:color w:val="333333"/>
                <w:kern w:val="0"/>
                <w:sz w:val="24"/>
              </w:rPr>
            </w:pPr>
            <w:r>
              <w:rPr>
                <w:rFonts w:hint="eastAsia" w:ascii="宋体" w:hAnsi="宋体" w:cs="Arial"/>
                <w:color w:val="333333"/>
                <w:kern w:val="0"/>
                <w:sz w:val="24"/>
              </w:rPr>
              <w:t>7</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bottom"/>
          </w:tcPr>
          <w:p w14:paraId="7C542100">
            <w:pPr>
              <w:widowControl/>
              <w:jc w:val="left"/>
              <w:textAlignment w:val="bottom"/>
              <w:rPr>
                <w:rFonts w:ascii="宋体" w:hAnsi="宋体" w:cs="Arial"/>
                <w:color w:val="333333"/>
                <w:kern w:val="0"/>
                <w:sz w:val="24"/>
              </w:rPr>
            </w:pPr>
            <w:r>
              <w:rPr>
                <w:rFonts w:hint="eastAsia" w:ascii="宋体" w:hAnsi="宋体" w:cs="Arial"/>
                <w:color w:val="333333"/>
                <w:kern w:val="0"/>
                <w:sz w:val="24"/>
              </w:rPr>
              <w:t>ECONOMIC JOURNAL</w:t>
            </w:r>
          </w:p>
        </w:tc>
      </w:tr>
      <w:tr w14:paraId="33DA8DCA">
        <w:tblPrEx>
          <w:tblCellMar>
            <w:top w:w="0" w:type="dxa"/>
            <w:left w:w="108" w:type="dxa"/>
            <w:bottom w:w="0" w:type="dxa"/>
            <w:right w:w="108" w:type="dxa"/>
          </w:tblCellMar>
        </w:tblPrEx>
        <w:trPr>
          <w:trHeight w:val="550" w:hRule="atLeast"/>
          <w:jc w:val="center"/>
        </w:trPr>
        <w:tc>
          <w:tcPr>
            <w:tcW w:w="1277" w:type="dxa"/>
            <w:tcBorders>
              <w:top w:val="single" w:color="000000" w:sz="4" w:space="0"/>
              <w:left w:val="single" w:color="000000" w:sz="4" w:space="0"/>
              <w:bottom w:val="single" w:color="auto" w:sz="4" w:space="0"/>
              <w:right w:val="single" w:color="000000" w:sz="4" w:space="0"/>
            </w:tcBorders>
            <w:shd w:val="clear" w:color="auto" w:fill="FFFFFF"/>
            <w:vAlign w:val="bottom"/>
          </w:tcPr>
          <w:p w14:paraId="59E83BA2">
            <w:pPr>
              <w:widowControl/>
              <w:jc w:val="center"/>
              <w:textAlignment w:val="bottom"/>
              <w:rPr>
                <w:rFonts w:ascii="宋体" w:hAnsi="宋体" w:cs="Arial"/>
                <w:color w:val="333333"/>
                <w:kern w:val="0"/>
                <w:sz w:val="24"/>
              </w:rPr>
            </w:pPr>
            <w:r>
              <w:rPr>
                <w:rFonts w:hint="eastAsia" w:ascii="宋体" w:hAnsi="宋体" w:cs="Arial"/>
                <w:color w:val="333333"/>
                <w:kern w:val="0"/>
                <w:sz w:val="24"/>
              </w:rPr>
              <w:t>8</w:t>
            </w:r>
          </w:p>
        </w:tc>
        <w:tc>
          <w:tcPr>
            <w:tcW w:w="3825" w:type="dxa"/>
            <w:tcBorders>
              <w:top w:val="single" w:color="000000" w:sz="4" w:space="0"/>
              <w:left w:val="single" w:color="000000" w:sz="4" w:space="0"/>
              <w:bottom w:val="single" w:color="auto" w:sz="4" w:space="0"/>
              <w:right w:val="single" w:color="000000" w:sz="4" w:space="0"/>
            </w:tcBorders>
            <w:shd w:val="clear" w:color="auto" w:fill="FFFFFF"/>
            <w:vAlign w:val="bottom"/>
          </w:tcPr>
          <w:p w14:paraId="0B764A83">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DEVELOPMENT ECONOMICS</w:t>
            </w:r>
          </w:p>
        </w:tc>
      </w:tr>
      <w:tr w14:paraId="06B685E2">
        <w:tblPrEx>
          <w:tblCellMar>
            <w:top w:w="0" w:type="dxa"/>
            <w:left w:w="108" w:type="dxa"/>
            <w:bottom w:w="0" w:type="dxa"/>
            <w:right w:w="108" w:type="dxa"/>
          </w:tblCellMar>
        </w:tblPrEx>
        <w:trPr>
          <w:trHeight w:val="540"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28A2B8AC">
            <w:pPr>
              <w:widowControl/>
              <w:jc w:val="center"/>
              <w:textAlignment w:val="bottom"/>
              <w:rPr>
                <w:rFonts w:ascii="宋体" w:hAnsi="宋体" w:cs="Arial"/>
                <w:color w:val="333333"/>
                <w:kern w:val="0"/>
                <w:sz w:val="24"/>
              </w:rPr>
            </w:pPr>
            <w:r>
              <w:rPr>
                <w:rFonts w:hint="eastAsia" w:ascii="宋体" w:hAnsi="宋体" w:cs="Arial"/>
                <w:color w:val="333333"/>
                <w:kern w:val="0"/>
                <w:sz w:val="24"/>
              </w:rPr>
              <w:t>9</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5AE235B7">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FINANCIAL ECONOMICS</w:t>
            </w:r>
          </w:p>
        </w:tc>
      </w:tr>
      <w:tr w14:paraId="4B02B13E">
        <w:tblPrEx>
          <w:tblCellMar>
            <w:top w:w="0" w:type="dxa"/>
            <w:left w:w="108" w:type="dxa"/>
            <w:bottom w:w="0" w:type="dxa"/>
            <w:right w:w="108" w:type="dxa"/>
          </w:tblCellMar>
        </w:tblPrEx>
        <w:trPr>
          <w:trHeight w:val="555"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3DFF2BB6">
            <w:pPr>
              <w:widowControl/>
              <w:jc w:val="center"/>
              <w:textAlignment w:val="bottom"/>
              <w:rPr>
                <w:rFonts w:ascii="宋体" w:hAnsi="宋体" w:cs="Arial"/>
                <w:color w:val="333333"/>
                <w:kern w:val="0"/>
                <w:sz w:val="24"/>
              </w:rPr>
            </w:pPr>
            <w:r>
              <w:rPr>
                <w:rFonts w:hint="eastAsia" w:ascii="宋体" w:hAnsi="宋体" w:cs="Arial"/>
                <w:color w:val="333333"/>
                <w:kern w:val="0"/>
                <w:sz w:val="24"/>
              </w:rPr>
              <w:t>10</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3C73D80F">
            <w:pPr>
              <w:widowControl/>
              <w:jc w:val="left"/>
              <w:textAlignment w:val="bottom"/>
              <w:rPr>
                <w:rFonts w:ascii="宋体" w:hAnsi="宋体" w:cs="Arial"/>
                <w:color w:val="333333"/>
                <w:kern w:val="0"/>
                <w:sz w:val="24"/>
              </w:rPr>
            </w:pPr>
            <w:r>
              <w:rPr>
                <w:rFonts w:hint="eastAsia" w:ascii="宋体" w:hAnsi="宋体" w:cs="Arial"/>
                <w:color w:val="333333"/>
                <w:kern w:val="0"/>
                <w:sz w:val="24"/>
              </w:rPr>
              <w:t>AMERICAN ECONOMIC REVIEW</w:t>
            </w:r>
          </w:p>
        </w:tc>
      </w:tr>
      <w:tr w14:paraId="18B60FEA">
        <w:tblPrEx>
          <w:tblCellMar>
            <w:top w:w="0" w:type="dxa"/>
            <w:left w:w="108" w:type="dxa"/>
            <w:bottom w:w="0" w:type="dxa"/>
            <w:right w:w="108" w:type="dxa"/>
          </w:tblCellMar>
        </w:tblPrEx>
        <w:trPr>
          <w:trHeight w:val="670"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211F56AD">
            <w:pPr>
              <w:widowControl/>
              <w:jc w:val="center"/>
              <w:textAlignment w:val="bottom"/>
              <w:rPr>
                <w:rFonts w:ascii="宋体" w:hAnsi="宋体" w:cs="Arial"/>
                <w:color w:val="333333"/>
                <w:kern w:val="0"/>
                <w:sz w:val="24"/>
              </w:rPr>
            </w:pPr>
            <w:r>
              <w:rPr>
                <w:rFonts w:hint="eastAsia" w:ascii="宋体" w:hAnsi="宋体" w:cs="Arial"/>
                <w:color w:val="333333"/>
                <w:kern w:val="0"/>
                <w:sz w:val="24"/>
              </w:rPr>
              <w:t>11</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362A0BF0">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INTERNATIONAL ECONOMICS</w:t>
            </w:r>
          </w:p>
        </w:tc>
      </w:tr>
      <w:tr w14:paraId="7310F303">
        <w:tblPrEx>
          <w:tblCellMar>
            <w:top w:w="0" w:type="dxa"/>
            <w:left w:w="108" w:type="dxa"/>
            <w:bottom w:w="0" w:type="dxa"/>
            <w:right w:w="108" w:type="dxa"/>
          </w:tblCellMar>
        </w:tblPrEx>
        <w:trPr>
          <w:trHeight w:val="185"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79964A9F">
            <w:pPr>
              <w:widowControl/>
              <w:jc w:val="center"/>
              <w:textAlignment w:val="bottom"/>
              <w:rPr>
                <w:rFonts w:ascii="宋体" w:hAnsi="宋体" w:cs="Arial"/>
                <w:color w:val="333333"/>
                <w:kern w:val="0"/>
                <w:sz w:val="24"/>
              </w:rPr>
            </w:pPr>
            <w:r>
              <w:rPr>
                <w:rFonts w:hint="eastAsia" w:ascii="宋体" w:hAnsi="宋体" w:cs="Arial"/>
                <w:color w:val="333333"/>
                <w:kern w:val="0"/>
                <w:sz w:val="24"/>
              </w:rPr>
              <w:t>12</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2FD93154">
            <w:pPr>
              <w:widowControl/>
              <w:jc w:val="left"/>
              <w:textAlignment w:val="bottom"/>
              <w:rPr>
                <w:rFonts w:ascii="宋体" w:hAnsi="宋体" w:cs="Arial"/>
                <w:color w:val="333333"/>
                <w:kern w:val="0"/>
                <w:sz w:val="24"/>
              </w:rPr>
            </w:pPr>
            <w:r>
              <w:rPr>
                <w:rFonts w:hint="eastAsia" w:ascii="宋体" w:hAnsi="宋体" w:cs="Arial"/>
                <w:color w:val="333333"/>
                <w:kern w:val="0"/>
                <w:sz w:val="24"/>
              </w:rPr>
              <w:t>RAND JOURNAL OF ECONOMICS</w:t>
            </w:r>
          </w:p>
        </w:tc>
      </w:tr>
      <w:tr w14:paraId="194FB685">
        <w:tblPrEx>
          <w:tblCellMar>
            <w:top w:w="0" w:type="dxa"/>
            <w:left w:w="108" w:type="dxa"/>
            <w:bottom w:w="0" w:type="dxa"/>
            <w:right w:w="108" w:type="dxa"/>
          </w:tblCellMar>
        </w:tblPrEx>
        <w:trPr>
          <w:trHeight w:val="465"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54DD70C6">
            <w:pPr>
              <w:widowControl/>
              <w:jc w:val="center"/>
              <w:textAlignment w:val="bottom"/>
              <w:rPr>
                <w:rFonts w:ascii="宋体" w:hAnsi="宋体" w:cs="Arial"/>
                <w:color w:val="333333"/>
                <w:kern w:val="0"/>
                <w:sz w:val="24"/>
              </w:rPr>
            </w:pPr>
            <w:r>
              <w:rPr>
                <w:rFonts w:hint="eastAsia" w:ascii="宋体" w:hAnsi="宋体" w:cs="Arial"/>
                <w:color w:val="333333"/>
                <w:kern w:val="0"/>
                <w:sz w:val="24"/>
              </w:rPr>
              <w:t>13</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61D086CB">
            <w:pPr>
              <w:widowControl/>
              <w:jc w:val="left"/>
              <w:textAlignment w:val="bottom"/>
              <w:rPr>
                <w:rFonts w:ascii="宋体" w:hAnsi="宋体" w:cs="Arial"/>
                <w:color w:val="333333"/>
                <w:kern w:val="0"/>
                <w:sz w:val="24"/>
              </w:rPr>
            </w:pPr>
            <w:r>
              <w:rPr>
                <w:rFonts w:hint="eastAsia" w:ascii="宋体" w:hAnsi="宋体" w:cs="Arial"/>
                <w:color w:val="333333"/>
                <w:kern w:val="0"/>
                <w:sz w:val="24"/>
              </w:rPr>
              <w:t>EXPERIMENTAL ECONOMICS</w:t>
            </w:r>
          </w:p>
        </w:tc>
      </w:tr>
      <w:tr w14:paraId="264728B6">
        <w:tblPrEx>
          <w:tblCellMar>
            <w:top w:w="0" w:type="dxa"/>
            <w:left w:w="108" w:type="dxa"/>
            <w:bottom w:w="0" w:type="dxa"/>
            <w:right w:w="108" w:type="dxa"/>
          </w:tblCellMar>
        </w:tblPrEx>
        <w:trPr>
          <w:trHeight w:val="710"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6A305BD0">
            <w:pPr>
              <w:widowControl/>
              <w:jc w:val="center"/>
              <w:textAlignment w:val="bottom"/>
              <w:rPr>
                <w:rFonts w:ascii="宋体" w:hAnsi="宋体" w:cs="Arial"/>
                <w:color w:val="333333"/>
                <w:kern w:val="0"/>
                <w:sz w:val="24"/>
              </w:rPr>
            </w:pPr>
            <w:r>
              <w:rPr>
                <w:rFonts w:hint="eastAsia" w:ascii="宋体" w:hAnsi="宋体" w:cs="Arial"/>
                <w:color w:val="333333"/>
                <w:kern w:val="0"/>
                <w:sz w:val="24"/>
              </w:rPr>
              <w:t>14</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78851523">
            <w:pPr>
              <w:widowControl/>
              <w:jc w:val="left"/>
              <w:textAlignment w:val="bottom"/>
              <w:rPr>
                <w:rFonts w:ascii="宋体" w:hAnsi="宋体" w:cs="Arial"/>
                <w:color w:val="333333"/>
                <w:kern w:val="0"/>
                <w:sz w:val="24"/>
              </w:rPr>
            </w:pPr>
            <w:r>
              <w:rPr>
                <w:rFonts w:hint="eastAsia" w:ascii="宋体" w:hAnsi="宋体" w:cs="Arial"/>
                <w:color w:val="333333"/>
                <w:kern w:val="0"/>
                <w:sz w:val="24"/>
              </w:rPr>
              <w:t>GAMES AND ECONOMIC BEHAVIOR</w:t>
            </w:r>
          </w:p>
        </w:tc>
      </w:tr>
      <w:tr w14:paraId="1259ADFF">
        <w:tblPrEx>
          <w:tblCellMar>
            <w:top w:w="0" w:type="dxa"/>
            <w:left w:w="108" w:type="dxa"/>
            <w:bottom w:w="0" w:type="dxa"/>
            <w:right w:w="108" w:type="dxa"/>
          </w:tblCellMar>
        </w:tblPrEx>
        <w:trPr>
          <w:trHeight w:val="610" w:hRule="atLeast"/>
          <w:jc w:val="center"/>
        </w:trPr>
        <w:tc>
          <w:tcPr>
            <w:tcW w:w="1277" w:type="dxa"/>
            <w:tcBorders>
              <w:top w:val="single" w:color="auto" w:sz="4" w:space="0"/>
              <w:left w:val="single" w:color="auto" w:sz="4" w:space="0"/>
              <w:bottom w:val="single" w:color="auto" w:sz="4" w:space="0"/>
              <w:right w:val="single" w:color="auto" w:sz="4" w:space="0"/>
            </w:tcBorders>
            <w:shd w:val="clear" w:color="auto" w:fill="FFFFFF"/>
            <w:vAlign w:val="bottom"/>
          </w:tcPr>
          <w:p w14:paraId="3C4ACD0C">
            <w:pPr>
              <w:widowControl/>
              <w:jc w:val="center"/>
              <w:textAlignment w:val="bottom"/>
              <w:rPr>
                <w:rFonts w:ascii="宋体" w:hAnsi="宋体" w:cs="Arial"/>
                <w:color w:val="333333"/>
                <w:kern w:val="0"/>
                <w:sz w:val="24"/>
              </w:rPr>
            </w:pPr>
            <w:r>
              <w:rPr>
                <w:rFonts w:hint="eastAsia" w:ascii="宋体" w:hAnsi="宋体" w:cs="Arial"/>
                <w:color w:val="333333"/>
                <w:kern w:val="0"/>
                <w:sz w:val="24"/>
              </w:rPr>
              <w:t>15</w:t>
            </w:r>
          </w:p>
        </w:tc>
        <w:tc>
          <w:tcPr>
            <w:tcW w:w="3825" w:type="dxa"/>
            <w:tcBorders>
              <w:top w:val="single" w:color="auto" w:sz="4" w:space="0"/>
              <w:left w:val="single" w:color="auto" w:sz="4" w:space="0"/>
              <w:bottom w:val="single" w:color="auto" w:sz="4" w:space="0"/>
              <w:right w:val="single" w:color="auto" w:sz="4" w:space="0"/>
            </w:tcBorders>
            <w:shd w:val="clear" w:color="auto" w:fill="FFFFFF"/>
            <w:vAlign w:val="bottom"/>
          </w:tcPr>
          <w:p w14:paraId="2326DC6B">
            <w:pPr>
              <w:widowControl/>
              <w:jc w:val="left"/>
              <w:textAlignment w:val="bottom"/>
              <w:rPr>
                <w:rFonts w:ascii="宋体" w:hAnsi="宋体" w:cs="Arial"/>
                <w:color w:val="333333"/>
                <w:kern w:val="0"/>
                <w:sz w:val="24"/>
              </w:rPr>
            </w:pPr>
            <w:r>
              <w:rPr>
                <w:rFonts w:hint="eastAsia" w:ascii="宋体" w:hAnsi="宋体" w:cs="Arial"/>
                <w:color w:val="333333"/>
                <w:kern w:val="0"/>
                <w:sz w:val="24"/>
              </w:rPr>
              <w:t>JOURNAL OF ECONOMIC THEORY</w:t>
            </w:r>
          </w:p>
        </w:tc>
      </w:tr>
    </w:tbl>
    <w:p w14:paraId="56A944EE"/>
    <w:p w14:paraId="11143FD8">
      <w:pPr>
        <w:pStyle w:val="3"/>
      </w:pPr>
      <w:r>
        <w:rPr>
          <w:rFonts w:hint="eastAsia"/>
        </w:rPr>
        <w:t>2</w:t>
      </w:r>
      <w:r>
        <w:t xml:space="preserve">. </w:t>
      </w:r>
      <w:r>
        <w:rPr>
          <w:rFonts w:hint="eastAsia"/>
        </w:rPr>
        <w:t>使用说明</w:t>
      </w:r>
    </w:p>
    <w:p w14:paraId="5ED5DF4F">
      <w:pPr>
        <w:rPr>
          <w:rFonts w:ascii="宋体" w:hAnsi="宋体" w:cs="Arial"/>
          <w:color w:val="333333"/>
          <w:kern w:val="0"/>
          <w:sz w:val="24"/>
        </w:rPr>
      </w:pPr>
      <w:r>
        <w:rPr>
          <w:rFonts w:hint="eastAsia"/>
        </w:rPr>
        <w:t xml:space="preserve"> </w:t>
      </w:r>
      <w:r>
        <w:t xml:space="preserve">   </w:t>
      </w:r>
      <w:r>
        <w:rPr>
          <w:rFonts w:hint="eastAsia" w:ascii="宋体" w:hAnsi="宋体" w:cs="Arial"/>
          <w:color w:val="333333"/>
          <w:kern w:val="0"/>
          <w:sz w:val="24"/>
        </w:rPr>
        <w:t>联系实验室老师（2</w:t>
      </w:r>
      <w:r>
        <w:rPr>
          <w:rFonts w:ascii="宋体" w:hAnsi="宋体" w:cs="Arial"/>
          <w:color w:val="333333"/>
          <w:kern w:val="0"/>
          <w:sz w:val="24"/>
        </w:rPr>
        <w:t>3498985</w:t>
      </w:r>
      <w:r>
        <w:rPr>
          <w:rFonts w:hint="eastAsia" w:ascii="宋体" w:hAnsi="宋体" w:cs="Arial"/>
          <w:color w:val="333333"/>
          <w:kern w:val="0"/>
          <w:sz w:val="24"/>
        </w:rPr>
        <w:t>），加入青梨使用群，注册平台账号。</w:t>
      </w:r>
      <w:bookmarkEnd w:id="19"/>
    </w:p>
    <w:p w14:paraId="0E720DC5">
      <w:pPr>
        <w:rPr>
          <w:sz w:val="24"/>
        </w:rPr>
      </w:pPr>
    </w:p>
    <w:p w14:paraId="75D26463">
      <w:pPr>
        <w:rPr>
          <w:rFonts w:hint="default" w:eastAsia="黑体"/>
          <w:b/>
          <w:bCs/>
          <w:sz w:val="28"/>
          <w:szCs w:val="32"/>
          <w:highlight w:val="yellow"/>
          <w:lang w:val="en-US" w:eastAsia="zh-CN"/>
        </w:rPr>
      </w:pPr>
      <w:r>
        <w:rPr>
          <w:rFonts w:hint="eastAsia" w:eastAsia="黑体"/>
          <w:b/>
          <w:bCs/>
          <w:sz w:val="28"/>
          <w:szCs w:val="32"/>
          <w:lang w:val="zh-CN"/>
        </w:rPr>
        <w:t>十三．</w:t>
      </w:r>
      <w:r>
        <w:rPr>
          <w:rFonts w:hint="eastAsia" w:eastAsia="黑体"/>
          <w:b/>
          <w:bCs/>
          <w:sz w:val="28"/>
          <w:szCs w:val="32"/>
          <w:highlight w:val="none"/>
          <w:lang w:val="zh-CN"/>
        </w:rPr>
        <w:t>FactSet数据库产业链数据</w:t>
      </w:r>
    </w:p>
    <w:p w14:paraId="52124FCD">
      <w:pPr>
        <w:pStyle w:val="3"/>
      </w:pPr>
      <w:r>
        <w:rPr>
          <w:rFonts w:hint="eastAsia"/>
        </w:rPr>
        <w:t>1</w:t>
      </w:r>
      <w:r>
        <w:rPr>
          <w:rFonts w:hint="eastAsia"/>
          <w:lang w:val="en-US" w:eastAsia="zh-CN"/>
        </w:rPr>
        <w:t>.</w:t>
      </w:r>
      <w:r>
        <w:t xml:space="preserve"> 数据库介绍</w:t>
      </w:r>
    </w:p>
    <w:p w14:paraId="336AC894">
      <w:pPr>
        <w:pStyle w:val="3"/>
        <w:ind w:firstLine="560" w:firstLineChars="200"/>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FactSet数据库是一个全球供应链关系数据库，由美国的FactSet公司提供。FactSet通过从年报、季报、投资者报告、公司网站和新闻稿等渠道系统地监控与收集公司的相关信息，从而提供全球经济中公司复杂的网络关系。</w:t>
      </w:r>
    </w:p>
    <w:p w14:paraId="4CF2DA56">
      <w:pPr>
        <w:spacing w:line="360" w:lineRule="auto"/>
        <w:ind w:left="2" w:firstLine="560" w:firstLineChars="200"/>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该数据库主要记录了2</w:t>
      </w:r>
      <w:r>
        <w:rPr>
          <w:rFonts w:ascii="Times New Roman" w:hAnsi="Times New Roman" w:eastAsia="宋体" w:cs="Times New Roman"/>
          <w:bCs w:val="0"/>
          <w:kern w:val="2"/>
          <w:sz w:val="28"/>
          <w:szCs w:val="28"/>
          <w:lang w:val="en-US" w:eastAsia="zh-CN" w:bidi="ar-SA"/>
        </w:rPr>
        <w:t>003</w:t>
      </w:r>
      <w:r>
        <w:rPr>
          <w:rFonts w:hint="eastAsia" w:ascii="Times New Roman" w:hAnsi="Times New Roman" w:eastAsia="宋体" w:cs="Times New Roman"/>
          <w:bCs w:val="0"/>
          <w:kern w:val="2"/>
          <w:sz w:val="28"/>
          <w:szCs w:val="28"/>
          <w:lang w:val="en-US" w:eastAsia="zh-CN" w:bidi="ar-SA"/>
        </w:rPr>
        <w:t>-</w:t>
      </w:r>
      <w:r>
        <w:rPr>
          <w:rFonts w:ascii="Times New Roman" w:hAnsi="Times New Roman" w:eastAsia="宋体" w:cs="Times New Roman"/>
          <w:bCs w:val="0"/>
          <w:kern w:val="2"/>
          <w:sz w:val="28"/>
          <w:szCs w:val="28"/>
          <w:lang w:val="en-US" w:eastAsia="zh-CN" w:bidi="ar-SA"/>
        </w:rPr>
        <w:t>2021</w:t>
      </w:r>
      <w:r>
        <w:rPr>
          <w:rFonts w:hint="eastAsia" w:ascii="Times New Roman" w:hAnsi="Times New Roman" w:eastAsia="宋体" w:cs="Times New Roman"/>
          <w:bCs w:val="0"/>
          <w:kern w:val="2"/>
          <w:sz w:val="28"/>
          <w:szCs w:val="28"/>
          <w:lang w:val="en-US" w:eastAsia="zh-CN" w:bidi="ar-SA"/>
        </w:rPr>
        <w:t>年全球1</w:t>
      </w:r>
      <w:r>
        <w:rPr>
          <w:rFonts w:ascii="Times New Roman" w:hAnsi="Times New Roman" w:eastAsia="宋体" w:cs="Times New Roman"/>
          <w:bCs w:val="0"/>
          <w:kern w:val="2"/>
          <w:sz w:val="28"/>
          <w:szCs w:val="28"/>
          <w:lang w:val="en-US" w:eastAsia="zh-CN" w:bidi="ar-SA"/>
        </w:rPr>
        <w:t>20</w:t>
      </w:r>
      <w:r>
        <w:rPr>
          <w:rFonts w:hint="eastAsia" w:ascii="Times New Roman" w:hAnsi="Times New Roman" w:eastAsia="宋体" w:cs="Times New Roman"/>
          <w:bCs w:val="0"/>
          <w:kern w:val="2"/>
          <w:sz w:val="28"/>
          <w:szCs w:val="28"/>
          <w:lang w:val="en-US" w:eastAsia="zh-CN" w:bidi="ar-SA"/>
        </w:rPr>
        <w:t>多个国家3万左右家上市公司约1</w:t>
      </w:r>
      <w:r>
        <w:rPr>
          <w:rFonts w:ascii="Times New Roman" w:hAnsi="Times New Roman" w:eastAsia="宋体" w:cs="Times New Roman"/>
          <w:bCs w:val="0"/>
          <w:kern w:val="2"/>
          <w:sz w:val="28"/>
          <w:szCs w:val="28"/>
          <w:lang w:val="en-US" w:eastAsia="zh-CN" w:bidi="ar-SA"/>
        </w:rPr>
        <w:t>00</w:t>
      </w:r>
      <w:r>
        <w:rPr>
          <w:rFonts w:hint="eastAsia" w:ascii="Times New Roman" w:hAnsi="Times New Roman" w:eastAsia="宋体" w:cs="Times New Roman"/>
          <w:bCs w:val="0"/>
          <w:kern w:val="2"/>
          <w:sz w:val="28"/>
          <w:szCs w:val="28"/>
          <w:lang w:val="en-US" w:eastAsia="zh-CN" w:bidi="ar-SA"/>
        </w:rPr>
        <w:t>多万条客户-供应商关系数据（</w:t>
      </w:r>
      <w:r>
        <w:rPr>
          <w:rFonts w:ascii="Times New Roman" w:hAnsi="Times New Roman" w:eastAsia="宋体" w:cs="Times New Roman"/>
          <w:bCs w:val="0"/>
          <w:kern w:val="2"/>
          <w:sz w:val="28"/>
          <w:szCs w:val="28"/>
          <w:lang w:val="en-US" w:eastAsia="zh-CN" w:bidi="ar-SA"/>
        </w:rPr>
        <w:t>FactSet Supply Chain Relationships</w:t>
      </w:r>
      <w:r>
        <w:rPr>
          <w:rFonts w:hint="eastAsia" w:ascii="Times New Roman" w:hAnsi="Times New Roman" w:eastAsia="宋体" w:cs="Times New Roman"/>
          <w:bCs w:val="0"/>
          <w:kern w:val="2"/>
          <w:sz w:val="28"/>
          <w:szCs w:val="28"/>
          <w:lang w:val="en-US" w:eastAsia="zh-CN" w:bidi="ar-SA"/>
        </w:rPr>
        <w:t>）。此外，还包括供应链航运交易数据（</w:t>
      </w:r>
      <w:r>
        <w:rPr>
          <w:rFonts w:ascii="Times New Roman" w:hAnsi="Times New Roman" w:eastAsia="宋体" w:cs="Times New Roman"/>
          <w:bCs w:val="0"/>
          <w:kern w:val="2"/>
          <w:sz w:val="28"/>
          <w:szCs w:val="28"/>
          <w:lang w:val="en-US" w:eastAsia="zh-CN" w:bidi="ar-SA"/>
        </w:rPr>
        <w:t>FactSet Supply Chain Shipping Transactions</w:t>
      </w:r>
      <w:r>
        <w:rPr>
          <w:rFonts w:hint="eastAsia" w:ascii="Times New Roman" w:hAnsi="Times New Roman" w:eastAsia="宋体" w:cs="Times New Roman"/>
          <w:bCs w:val="0"/>
          <w:kern w:val="2"/>
          <w:sz w:val="28"/>
          <w:szCs w:val="28"/>
          <w:lang w:val="en-US" w:eastAsia="zh-CN" w:bidi="ar-SA"/>
        </w:rPr>
        <w:t>）、私募股权数据（</w:t>
      </w:r>
      <w:r>
        <w:rPr>
          <w:rFonts w:ascii="Times New Roman" w:hAnsi="Times New Roman" w:eastAsia="宋体" w:cs="Times New Roman"/>
          <w:bCs w:val="0"/>
          <w:kern w:val="2"/>
          <w:sz w:val="28"/>
          <w:szCs w:val="28"/>
          <w:lang w:val="en-US" w:eastAsia="zh-CN" w:bidi="ar-SA"/>
        </w:rPr>
        <w:t>FactSet Private Equity</w:t>
      </w:r>
      <w:r>
        <w:rPr>
          <w:rFonts w:hint="eastAsia" w:ascii="Times New Roman" w:hAnsi="Times New Roman" w:eastAsia="宋体" w:cs="Times New Roman"/>
          <w:bCs w:val="0"/>
          <w:kern w:val="2"/>
          <w:sz w:val="28"/>
          <w:szCs w:val="28"/>
          <w:lang w:val="en-US" w:eastAsia="zh-CN" w:bidi="ar-SA"/>
        </w:rPr>
        <w:t>）、全球制裁数据（</w:t>
      </w:r>
      <w:r>
        <w:rPr>
          <w:rFonts w:ascii="Times New Roman" w:hAnsi="Times New Roman" w:eastAsia="宋体" w:cs="Times New Roman"/>
          <w:bCs w:val="0"/>
          <w:kern w:val="2"/>
          <w:sz w:val="28"/>
          <w:szCs w:val="28"/>
          <w:lang w:val="en-US" w:eastAsia="zh-CN" w:bidi="ar-SA"/>
        </w:rPr>
        <w:t>FactSet Global Sanctions</w:t>
      </w:r>
      <w:r>
        <w:rPr>
          <w:rFonts w:hint="eastAsia" w:ascii="Times New Roman" w:hAnsi="Times New Roman" w:eastAsia="宋体" w:cs="Times New Roman"/>
          <w:bCs w:val="0"/>
          <w:kern w:val="2"/>
          <w:sz w:val="28"/>
          <w:szCs w:val="28"/>
          <w:lang w:val="en-US" w:eastAsia="zh-CN" w:bidi="ar-SA"/>
        </w:rPr>
        <w:t>）和债务资本结构数据（</w:t>
      </w:r>
      <w:r>
        <w:rPr>
          <w:rFonts w:ascii="Times New Roman" w:hAnsi="Times New Roman" w:eastAsia="宋体" w:cs="Times New Roman"/>
          <w:bCs w:val="0"/>
          <w:kern w:val="2"/>
          <w:sz w:val="28"/>
          <w:szCs w:val="28"/>
          <w:lang w:val="en-US" w:eastAsia="zh-CN" w:bidi="ar-SA"/>
        </w:rPr>
        <w:t>FactSet Debt Capital Structure</w:t>
      </w:r>
      <w:r>
        <w:rPr>
          <w:rFonts w:hint="eastAsia" w:ascii="Times New Roman" w:hAnsi="Times New Roman" w:eastAsia="宋体" w:cs="Times New Roman"/>
          <w:bCs w:val="0"/>
          <w:kern w:val="2"/>
          <w:sz w:val="28"/>
          <w:szCs w:val="28"/>
          <w:lang w:val="en-US" w:eastAsia="zh-CN" w:bidi="ar-SA"/>
        </w:rPr>
        <w:t>）。</w:t>
      </w:r>
    </w:p>
    <w:p w14:paraId="07E6F8D5">
      <w:pPr>
        <w:spacing w:line="360" w:lineRule="auto"/>
        <w:ind w:left="2" w:firstLine="560" w:firstLineChars="200"/>
        <w:rPr>
          <w:rFonts w:hint="default"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学院采购的是下面三部分：</w:t>
      </w:r>
    </w:p>
    <w:p w14:paraId="26ADBE3A">
      <w:pPr>
        <w:keepNext w:val="0"/>
        <w:keepLines w:val="0"/>
        <w:widowControl/>
        <w:suppressLineNumbers w:val="0"/>
        <w:ind w:firstLine="562"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1. 1深度行业分类数据</w:t>
      </w:r>
      <w:r>
        <w:rPr>
          <w:rFonts w:hint="default" w:ascii="Times New Roman" w:hAnsi="Times New Roman" w:eastAsia="宋体" w:cs="Times New Roman"/>
          <w:b/>
          <w:bCs/>
          <w:kern w:val="2"/>
          <w:sz w:val="28"/>
          <w:szCs w:val="28"/>
          <w:lang w:val="en-US" w:eastAsia="zh-CN" w:bidi="ar-SA"/>
        </w:rPr>
        <w:t xml:space="preserve"> Revere Business Industry Classification System (RBICS) </w:t>
      </w:r>
      <w:r>
        <w:rPr>
          <w:rFonts w:hint="eastAsia" w:ascii="Times New Roman" w:hAnsi="Times New Roman" w:eastAsia="宋体" w:cs="Times New Roman"/>
          <w:bCs w:val="0"/>
          <w:kern w:val="2"/>
          <w:sz w:val="28"/>
          <w:szCs w:val="28"/>
          <w:lang w:val="en-US" w:eastAsia="zh-CN" w:bidi="ar-SA"/>
        </w:rPr>
        <w:t>（拟采购）</w:t>
      </w:r>
    </w:p>
    <w:p w14:paraId="3862C2B6">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ascii="Times New Roman" w:hAnsi="Times New Roman" w:eastAsia="宋体" w:cs="Times New Roman"/>
          <w:bCs w:val="0"/>
          <w:kern w:val="2"/>
          <w:sz w:val="28"/>
          <w:szCs w:val="28"/>
          <w:lang w:val="en-US" w:eastAsia="zh-CN" w:bidi="ar-SA"/>
        </w:rPr>
        <w:t>1.</w:t>
      </w:r>
      <w:r>
        <w:rPr>
          <w:rFonts w:hint="eastAsia" w:ascii="Times New Roman" w:hAnsi="Times New Roman" w:eastAsia="宋体" w:cs="Times New Roman"/>
          <w:bCs w:val="0"/>
          <w:kern w:val="2"/>
          <w:sz w:val="28"/>
          <w:szCs w:val="28"/>
          <w:lang w:val="en-US" w:eastAsia="zh-CN" w:bidi="ar-SA"/>
        </w:rPr>
        <w:t>1.1深度行业分类数据包</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 xml:space="preserve">主营业务层分类 </w:t>
      </w:r>
    </w:p>
    <w:p w14:paraId="56FBD2CB">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1.1.2</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深度行业分类数据包</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 xml:space="preserve">各业务线层分类及收益分配 </w:t>
      </w:r>
    </w:p>
    <w:p w14:paraId="7A863D73">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1.1.</w:t>
      </w:r>
      <w:r>
        <w:rPr>
          <w:rFonts w:hint="default" w:ascii="Times New Roman" w:hAnsi="Times New Roman" w:eastAsia="宋体" w:cs="Times New Roman"/>
          <w:bCs w:val="0"/>
          <w:kern w:val="2"/>
          <w:sz w:val="28"/>
          <w:szCs w:val="28"/>
          <w:lang w:val="en-US" w:eastAsia="zh-CN" w:bidi="ar-SA"/>
        </w:rPr>
        <w:t>3.</w:t>
      </w:r>
      <w:r>
        <w:rPr>
          <w:rFonts w:hint="eastAsia" w:ascii="Times New Roman" w:hAnsi="Times New Roman" w:eastAsia="宋体" w:cs="Times New Roman"/>
          <w:bCs w:val="0"/>
          <w:kern w:val="2"/>
          <w:sz w:val="28"/>
          <w:szCs w:val="28"/>
          <w:lang w:val="en-US" w:eastAsia="zh-CN" w:bidi="ar-SA"/>
        </w:rPr>
        <w:t>深度行业分类数据包</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产品</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 xml:space="preserve">品牌层分类 </w:t>
      </w:r>
    </w:p>
    <w:p w14:paraId="2382CFF6">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数据内容 ：包含 </w:t>
      </w:r>
      <w:r>
        <w:rPr>
          <w:rFonts w:hint="default" w:ascii="Times New Roman" w:hAnsi="Times New Roman" w:eastAsia="宋体" w:cs="Times New Roman"/>
          <w:bCs w:val="0"/>
          <w:kern w:val="2"/>
          <w:sz w:val="28"/>
          <w:szCs w:val="28"/>
          <w:lang w:val="en-US" w:eastAsia="zh-CN" w:bidi="ar-SA"/>
        </w:rPr>
        <w:t xml:space="preserve">6 </w:t>
      </w:r>
      <w:r>
        <w:rPr>
          <w:rFonts w:hint="eastAsia" w:ascii="Times New Roman" w:hAnsi="Times New Roman" w:eastAsia="宋体" w:cs="Times New Roman"/>
          <w:bCs w:val="0"/>
          <w:kern w:val="2"/>
          <w:sz w:val="28"/>
          <w:szCs w:val="28"/>
          <w:lang w:val="en-US" w:eastAsia="zh-CN" w:bidi="ar-SA"/>
        </w:rPr>
        <w:t xml:space="preserve">级行业分类，覆盖 </w:t>
      </w:r>
      <w:r>
        <w:rPr>
          <w:rFonts w:hint="default" w:ascii="Times New Roman" w:hAnsi="Times New Roman" w:eastAsia="宋体" w:cs="Times New Roman"/>
          <w:bCs w:val="0"/>
          <w:kern w:val="2"/>
          <w:sz w:val="28"/>
          <w:szCs w:val="28"/>
          <w:lang w:val="en-US" w:eastAsia="zh-CN" w:bidi="ar-SA"/>
        </w:rPr>
        <w:t xml:space="preserve">1418 </w:t>
      </w:r>
      <w:r>
        <w:rPr>
          <w:rFonts w:hint="eastAsia" w:ascii="Times New Roman" w:hAnsi="Times New Roman" w:eastAsia="宋体" w:cs="Times New Roman"/>
          <w:bCs w:val="0"/>
          <w:kern w:val="2"/>
          <w:sz w:val="28"/>
          <w:szCs w:val="28"/>
          <w:lang w:val="en-US" w:eastAsia="zh-CN" w:bidi="ar-SA"/>
        </w:rPr>
        <w:t>个细分子行业，提供比传统行业分类更深度的视角，方便进行市场同比和归类。全球覆盖，</w:t>
      </w:r>
      <w:r>
        <w:rPr>
          <w:rFonts w:hint="default" w:ascii="Times New Roman" w:hAnsi="Times New Roman" w:eastAsia="宋体" w:cs="Times New Roman"/>
          <w:bCs w:val="0"/>
          <w:kern w:val="2"/>
          <w:sz w:val="28"/>
          <w:szCs w:val="28"/>
          <w:lang w:val="en-US" w:eastAsia="zh-CN" w:bidi="ar-SA"/>
        </w:rPr>
        <w:t xml:space="preserve">A </w:t>
      </w:r>
      <w:r>
        <w:rPr>
          <w:rFonts w:hint="eastAsia" w:ascii="Times New Roman" w:hAnsi="Times New Roman" w:eastAsia="宋体" w:cs="Times New Roman"/>
          <w:bCs w:val="0"/>
          <w:kern w:val="2"/>
          <w:sz w:val="28"/>
          <w:szCs w:val="28"/>
          <w:lang w:val="en-US" w:eastAsia="zh-CN" w:bidi="ar-SA"/>
        </w:rPr>
        <w:t xml:space="preserve">股覆盖率达到 </w:t>
      </w:r>
      <w:r>
        <w:rPr>
          <w:rFonts w:hint="default" w:ascii="Times New Roman" w:hAnsi="Times New Roman" w:eastAsia="宋体" w:cs="Times New Roman"/>
          <w:bCs w:val="0"/>
          <w:kern w:val="2"/>
          <w:sz w:val="28"/>
          <w:szCs w:val="28"/>
          <w:lang w:val="en-US" w:eastAsia="zh-CN" w:bidi="ar-SA"/>
        </w:rPr>
        <w:t>90%</w:t>
      </w:r>
      <w:r>
        <w:rPr>
          <w:rFonts w:hint="eastAsia" w:ascii="Times New Roman" w:hAnsi="Times New Roman" w:eastAsia="宋体" w:cs="Times New Roman"/>
          <w:bCs w:val="0"/>
          <w:kern w:val="2"/>
          <w:sz w:val="28"/>
          <w:szCs w:val="28"/>
          <w:lang w:val="en-US" w:eastAsia="zh-CN" w:bidi="ar-SA"/>
        </w:rPr>
        <w:t>以上。亚太</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欧洲数据可回溯至</w:t>
      </w:r>
      <w:r>
        <w:rPr>
          <w:rFonts w:hint="default" w:ascii="Times New Roman" w:hAnsi="Times New Roman" w:eastAsia="宋体" w:cs="Times New Roman"/>
          <w:bCs w:val="0"/>
          <w:kern w:val="2"/>
          <w:sz w:val="28"/>
          <w:szCs w:val="28"/>
          <w:lang w:val="en-US" w:eastAsia="zh-CN" w:bidi="ar-SA"/>
        </w:rPr>
        <w:t>2011</w:t>
      </w:r>
      <w:r>
        <w:rPr>
          <w:rFonts w:hint="eastAsia" w:ascii="Times New Roman" w:hAnsi="Times New Roman" w:eastAsia="宋体" w:cs="Times New Roman"/>
          <w:bCs w:val="0"/>
          <w:kern w:val="2"/>
          <w:sz w:val="28"/>
          <w:szCs w:val="28"/>
          <w:lang w:val="en-US" w:eastAsia="zh-CN" w:bidi="ar-SA"/>
        </w:rPr>
        <w:t>年</w:t>
      </w:r>
      <w:r>
        <w:rPr>
          <w:rFonts w:hint="eastAsia"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北美数据始于</w:t>
      </w:r>
      <w:r>
        <w:rPr>
          <w:rFonts w:hint="default" w:ascii="Times New Roman" w:hAnsi="Times New Roman" w:eastAsia="宋体" w:cs="Times New Roman"/>
          <w:bCs w:val="0"/>
          <w:kern w:val="2"/>
          <w:sz w:val="28"/>
          <w:szCs w:val="28"/>
          <w:lang w:val="en-US" w:eastAsia="zh-CN" w:bidi="ar-SA"/>
        </w:rPr>
        <w:t>2003</w:t>
      </w:r>
      <w:r>
        <w:rPr>
          <w:rFonts w:hint="eastAsia" w:ascii="Times New Roman" w:hAnsi="Times New Roman" w:eastAsia="宋体" w:cs="Times New Roman"/>
          <w:bCs w:val="0"/>
          <w:kern w:val="2"/>
          <w:sz w:val="28"/>
          <w:szCs w:val="28"/>
          <w:lang w:val="en-US" w:eastAsia="zh-CN" w:bidi="ar-SA"/>
        </w:rPr>
        <w:t xml:space="preserve">年。 </w:t>
      </w:r>
    </w:p>
    <w:p w14:paraId="59623B4D">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参考链接 </w:t>
      </w:r>
    </w:p>
    <w:p w14:paraId="623A2549">
      <w:pPr>
        <w:keepNext w:val="0"/>
        <w:keepLines w:val="0"/>
        <w:widowControl/>
        <w:suppressLineNumbers w:val="0"/>
        <w:ind w:firstLine="560" w:firstLineChars="200"/>
        <w:jc w:val="left"/>
        <w:rPr>
          <w:rFonts w:ascii="Times New Roman" w:hAnsi="Times New Roman" w:eastAsia="宋体" w:cs="Times New Roman"/>
          <w:bCs w:val="0"/>
          <w:kern w:val="2"/>
          <w:sz w:val="28"/>
          <w:szCs w:val="28"/>
          <w:lang w:val="en-US" w:eastAsia="zh-CN" w:bidi="ar-SA"/>
        </w:rPr>
      </w:pPr>
      <w:r>
        <w:rPr>
          <w:rFonts w:hint="default" w:ascii="Times New Roman" w:hAnsi="Times New Roman" w:eastAsia="宋体" w:cs="Times New Roman"/>
          <w:bCs w:val="0"/>
          <w:kern w:val="2"/>
          <w:sz w:val="28"/>
          <w:szCs w:val="28"/>
          <w:lang w:val="en-US" w:eastAsia="zh-CN" w:bidi="ar-SA"/>
        </w:rPr>
        <w:t xml:space="preserve">https://open.factset.com/catalog/products/factset-rbics/en-us </w:t>
      </w:r>
    </w:p>
    <w:p w14:paraId="1E070D4D">
      <w:pPr>
        <w:keepNext w:val="0"/>
        <w:keepLines w:val="0"/>
        <w:widowControl/>
        <w:suppressLineNumbers w:val="0"/>
        <w:ind w:firstLine="562" w:firstLineChars="200"/>
        <w:jc w:val="left"/>
        <w:rPr>
          <w:rFonts w:hint="eastAsia"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1.</w:t>
      </w:r>
      <w:r>
        <w:rPr>
          <w:rFonts w:hint="default" w:ascii="Times New Roman" w:hAnsi="Times New Roman" w:eastAsia="宋体" w:cs="Times New Roman"/>
          <w:b/>
          <w:bCs/>
          <w:kern w:val="2"/>
          <w:sz w:val="28"/>
          <w:szCs w:val="28"/>
          <w:lang w:val="en-US" w:eastAsia="zh-CN" w:bidi="ar-SA"/>
        </w:rPr>
        <w:t>2</w:t>
      </w:r>
      <w:r>
        <w:rPr>
          <w:rFonts w:hint="eastAsia" w:ascii="Times New Roman" w:hAnsi="Times New Roman" w:eastAsia="宋体" w:cs="Times New Roman"/>
          <w:b/>
          <w:bCs/>
          <w:kern w:val="2"/>
          <w:sz w:val="28"/>
          <w:szCs w:val="28"/>
          <w:lang w:val="en-US" w:eastAsia="zh-CN" w:bidi="ar-SA"/>
        </w:rPr>
        <w:t xml:space="preserve"> 产业链数据 </w:t>
      </w:r>
      <w:r>
        <w:rPr>
          <w:rFonts w:hint="default" w:ascii="Times New Roman" w:hAnsi="Times New Roman" w:eastAsia="宋体" w:cs="Times New Roman"/>
          <w:b/>
          <w:bCs/>
          <w:kern w:val="2"/>
          <w:sz w:val="28"/>
          <w:szCs w:val="28"/>
          <w:lang w:val="en-US" w:eastAsia="zh-CN" w:bidi="ar-SA"/>
        </w:rPr>
        <w:t xml:space="preserve">Revere Supply Chain </w:t>
      </w:r>
    </w:p>
    <w:p w14:paraId="1E312833">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数据内容 ：提供包含客户，供应商、战略合作伙伴、竞争对手等 </w:t>
      </w:r>
      <w:r>
        <w:rPr>
          <w:rFonts w:hint="default" w:ascii="Times New Roman" w:hAnsi="Times New Roman" w:eastAsia="宋体" w:cs="Times New Roman"/>
          <w:bCs w:val="0"/>
          <w:kern w:val="2"/>
          <w:sz w:val="28"/>
          <w:szCs w:val="28"/>
          <w:lang w:val="en-US" w:eastAsia="zh-CN" w:bidi="ar-SA"/>
        </w:rPr>
        <w:t xml:space="preserve">13 </w:t>
      </w:r>
      <w:r>
        <w:rPr>
          <w:rFonts w:hint="eastAsia" w:ascii="Times New Roman" w:hAnsi="Times New Roman" w:eastAsia="宋体" w:cs="Times New Roman"/>
          <w:bCs w:val="0"/>
          <w:kern w:val="2"/>
          <w:sz w:val="28"/>
          <w:szCs w:val="28"/>
          <w:lang w:val="en-US" w:eastAsia="zh-CN" w:bidi="ar-SA"/>
        </w:rPr>
        <w:t>种直接或间接获取的供应链关系。全球覆盖</w:t>
      </w:r>
      <w:r>
        <w:rPr>
          <w:rFonts w:hint="default" w:ascii="Times New Roman" w:hAnsi="Times New Roman" w:eastAsia="宋体" w:cs="Times New Roman"/>
          <w:bCs w:val="0"/>
          <w:kern w:val="2"/>
          <w:sz w:val="28"/>
          <w:szCs w:val="28"/>
          <w:lang w:val="en-US" w:eastAsia="zh-CN" w:bidi="ar-SA"/>
        </w:rPr>
        <w:t>23,782</w:t>
      </w:r>
      <w:r>
        <w:rPr>
          <w:rFonts w:hint="eastAsia" w:ascii="Times New Roman" w:hAnsi="Times New Roman" w:eastAsia="宋体" w:cs="Times New Roman"/>
          <w:bCs w:val="0"/>
          <w:kern w:val="2"/>
          <w:sz w:val="28"/>
          <w:szCs w:val="28"/>
          <w:lang w:val="en-US" w:eastAsia="zh-CN" w:bidi="ar-SA"/>
        </w:rPr>
        <w:t>家公司</w:t>
      </w:r>
      <w:r>
        <w:rPr>
          <w:rFonts w:hint="default" w:ascii="Times New Roman" w:hAnsi="Times New Roman" w:eastAsia="宋体" w:cs="Times New Roman"/>
          <w:bCs w:val="0"/>
          <w:kern w:val="2"/>
          <w:sz w:val="28"/>
          <w:szCs w:val="28"/>
          <w:lang w:val="en-US" w:eastAsia="zh-CN" w:bidi="ar-SA"/>
        </w:rPr>
        <w:t xml:space="preserve">372,630 </w:t>
      </w:r>
      <w:r>
        <w:rPr>
          <w:rFonts w:hint="eastAsia" w:ascii="Times New Roman" w:hAnsi="Times New Roman" w:eastAsia="宋体" w:cs="Times New Roman"/>
          <w:bCs w:val="0"/>
          <w:kern w:val="2"/>
          <w:sz w:val="28"/>
          <w:szCs w:val="28"/>
          <w:lang w:val="en-US" w:eastAsia="zh-CN" w:bidi="ar-SA"/>
        </w:rPr>
        <w:t>种供应链关系，</w:t>
      </w:r>
      <w:r>
        <w:rPr>
          <w:rFonts w:hint="default" w:ascii="Times New Roman" w:hAnsi="Times New Roman" w:eastAsia="宋体" w:cs="Times New Roman"/>
          <w:bCs w:val="0"/>
          <w:kern w:val="2"/>
          <w:sz w:val="28"/>
          <w:szCs w:val="28"/>
          <w:lang w:val="en-US" w:eastAsia="zh-CN" w:bidi="ar-SA"/>
        </w:rPr>
        <w:t xml:space="preserve">A </w:t>
      </w:r>
      <w:r>
        <w:rPr>
          <w:rFonts w:hint="eastAsia" w:ascii="Times New Roman" w:hAnsi="Times New Roman" w:eastAsia="宋体" w:cs="Times New Roman"/>
          <w:bCs w:val="0"/>
          <w:kern w:val="2"/>
          <w:sz w:val="28"/>
          <w:szCs w:val="28"/>
          <w:lang w:val="en-US" w:eastAsia="zh-CN" w:bidi="ar-SA"/>
        </w:rPr>
        <w:t xml:space="preserve">股覆盖率达到 </w:t>
      </w:r>
      <w:r>
        <w:rPr>
          <w:rFonts w:hint="default" w:ascii="Times New Roman" w:hAnsi="Times New Roman" w:eastAsia="宋体" w:cs="Times New Roman"/>
          <w:bCs w:val="0"/>
          <w:kern w:val="2"/>
          <w:sz w:val="28"/>
          <w:szCs w:val="28"/>
          <w:lang w:val="en-US" w:eastAsia="zh-CN" w:bidi="ar-SA"/>
        </w:rPr>
        <w:t>80%</w:t>
      </w:r>
      <w:r>
        <w:rPr>
          <w:rFonts w:hint="eastAsia" w:ascii="Times New Roman" w:hAnsi="Times New Roman" w:eastAsia="宋体" w:cs="Times New Roman"/>
          <w:bCs w:val="0"/>
          <w:kern w:val="2"/>
          <w:sz w:val="28"/>
          <w:szCs w:val="28"/>
          <w:lang w:val="en-US" w:eastAsia="zh-CN" w:bidi="ar-SA"/>
        </w:rPr>
        <w:t>以上。北美数据可回溯至</w:t>
      </w:r>
      <w:r>
        <w:rPr>
          <w:rFonts w:hint="default" w:ascii="Times New Roman" w:hAnsi="Times New Roman" w:eastAsia="宋体" w:cs="Times New Roman"/>
          <w:bCs w:val="0"/>
          <w:kern w:val="2"/>
          <w:sz w:val="28"/>
          <w:szCs w:val="28"/>
          <w:lang w:val="en-US" w:eastAsia="zh-CN" w:bidi="ar-SA"/>
        </w:rPr>
        <w:t>2003</w:t>
      </w:r>
      <w:r>
        <w:rPr>
          <w:rFonts w:hint="eastAsia" w:ascii="Times New Roman" w:hAnsi="Times New Roman" w:eastAsia="宋体" w:cs="Times New Roman"/>
          <w:bCs w:val="0"/>
          <w:kern w:val="2"/>
          <w:sz w:val="28"/>
          <w:szCs w:val="28"/>
          <w:lang w:val="en-US" w:eastAsia="zh-CN" w:bidi="ar-SA"/>
        </w:rPr>
        <w:t>年，亚太及欧洲地区数据可回溯至</w:t>
      </w:r>
      <w:r>
        <w:rPr>
          <w:rFonts w:hint="default" w:ascii="Times New Roman" w:hAnsi="Times New Roman" w:eastAsia="宋体" w:cs="Times New Roman"/>
          <w:bCs w:val="0"/>
          <w:kern w:val="2"/>
          <w:sz w:val="28"/>
          <w:szCs w:val="28"/>
          <w:lang w:val="en-US" w:eastAsia="zh-CN" w:bidi="ar-SA"/>
        </w:rPr>
        <w:t>2011</w:t>
      </w:r>
      <w:r>
        <w:rPr>
          <w:rFonts w:hint="eastAsia" w:ascii="Times New Roman" w:hAnsi="Times New Roman" w:eastAsia="宋体" w:cs="Times New Roman"/>
          <w:bCs w:val="0"/>
          <w:kern w:val="2"/>
          <w:sz w:val="28"/>
          <w:szCs w:val="28"/>
          <w:lang w:val="en-US" w:eastAsia="zh-CN" w:bidi="ar-SA"/>
        </w:rPr>
        <w:t xml:space="preserve">年。 </w:t>
      </w:r>
    </w:p>
    <w:p w14:paraId="33A13F95">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数据亮点及优势： </w:t>
      </w:r>
      <w:r>
        <w:rPr>
          <w:rFonts w:hint="default" w:ascii="Times New Roman" w:hAnsi="Times New Roman" w:eastAsia="宋体" w:cs="Times New Roman"/>
          <w:bCs w:val="0"/>
          <w:kern w:val="2"/>
          <w:sz w:val="28"/>
          <w:szCs w:val="28"/>
          <w:lang w:val="en-US" w:eastAsia="zh-CN" w:bidi="ar-SA"/>
        </w:rPr>
        <w:t xml:space="preserve">FactSet </w:t>
      </w:r>
      <w:r>
        <w:rPr>
          <w:rFonts w:hint="eastAsia" w:ascii="Times New Roman" w:hAnsi="Times New Roman" w:eastAsia="宋体" w:cs="Times New Roman"/>
          <w:bCs w:val="0"/>
          <w:kern w:val="2"/>
          <w:sz w:val="28"/>
          <w:szCs w:val="28"/>
          <w:lang w:val="en-US" w:eastAsia="zh-CN" w:bidi="ar-SA"/>
        </w:rPr>
        <w:t xml:space="preserve">独家数据。市场上唯一能做到全球范围内分析所有公司的公开市场报告，如公司财报、 新闻发布、投资者相关报告等，正向和反向收集公司供应链上下游所有关系的数据 源。规避了通常会遇到的数据公开程度低，准确度低、片面性等局限，尤其是反向 供应链关系的收集方法，是供应链数据在全球和国内数据受到广泛认可的基础。通过 </w:t>
      </w:r>
      <w:r>
        <w:rPr>
          <w:rFonts w:hint="default" w:ascii="Times New Roman" w:hAnsi="Times New Roman" w:eastAsia="宋体" w:cs="Times New Roman"/>
          <w:bCs w:val="0"/>
          <w:kern w:val="2"/>
          <w:sz w:val="28"/>
          <w:szCs w:val="28"/>
          <w:lang w:val="en-US" w:eastAsia="zh-CN" w:bidi="ar-SA"/>
        </w:rPr>
        <w:t xml:space="preserve">Revere </w:t>
      </w:r>
      <w:r>
        <w:rPr>
          <w:rFonts w:hint="eastAsia" w:ascii="Times New Roman" w:hAnsi="Times New Roman" w:eastAsia="宋体" w:cs="Times New Roman"/>
          <w:bCs w:val="0"/>
          <w:kern w:val="2"/>
          <w:sz w:val="28"/>
          <w:szCs w:val="28"/>
          <w:lang w:val="en-US" w:eastAsia="zh-CN" w:bidi="ar-SA"/>
        </w:rPr>
        <w:t xml:space="preserve">供应链数据的应用，可进一步探索客户和供应商的关系等对公司股价的影响等方面的价值。 </w:t>
      </w:r>
    </w:p>
    <w:p w14:paraId="53E4E950">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参考链接 </w:t>
      </w:r>
    </w:p>
    <w:p w14:paraId="405521C0">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default" w:ascii="Times New Roman" w:hAnsi="Times New Roman" w:eastAsia="宋体" w:cs="Times New Roman"/>
          <w:bCs w:val="0"/>
          <w:kern w:val="2"/>
          <w:sz w:val="28"/>
          <w:szCs w:val="28"/>
          <w:lang w:val="en-US" w:eastAsia="zh-CN" w:bidi="ar-SA"/>
        </w:rPr>
        <w:t xml:space="preserve">https://open.factset.com/catalog/products/factset-supply-chain-relationships/en-us </w:t>
      </w:r>
    </w:p>
    <w:p w14:paraId="48E9EE2E">
      <w:pPr>
        <w:keepNext w:val="0"/>
        <w:keepLines w:val="0"/>
        <w:widowControl/>
        <w:suppressLineNumbers w:val="0"/>
        <w:ind w:firstLine="562"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1.</w:t>
      </w:r>
      <w:r>
        <w:rPr>
          <w:rFonts w:hint="default" w:ascii="Times New Roman" w:hAnsi="Times New Roman" w:eastAsia="宋体" w:cs="Times New Roman"/>
          <w:b/>
          <w:bCs/>
          <w:kern w:val="2"/>
          <w:sz w:val="28"/>
          <w:szCs w:val="28"/>
          <w:lang w:val="en-US" w:eastAsia="zh-CN" w:bidi="ar-SA"/>
        </w:rPr>
        <w:t>3</w:t>
      </w:r>
      <w:r>
        <w:rPr>
          <w:rFonts w:hint="eastAsia" w:ascii="Times New Roman" w:hAnsi="Times New Roman" w:eastAsia="宋体" w:cs="Times New Roman"/>
          <w:b/>
          <w:bCs/>
          <w:kern w:val="2"/>
          <w:sz w:val="28"/>
          <w:szCs w:val="28"/>
          <w:lang w:val="en-US" w:eastAsia="zh-CN" w:bidi="ar-SA"/>
        </w:rPr>
        <w:t xml:space="preserve"> 公司营收国别划分</w:t>
      </w:r>
      <w:r>
        <w:rPr>
          <w:rFonts w:hint="default" w:ascii="Times New Roman" w:hAnsi="Times New Roman" w:eastAsia="宋体" w:cs="Times New Roman"/>
          <w:b/>
          <w:bCs/>
          <w:kern w:val="2"/>
          <w:sz w:val="28"/>
          <w:szCs w:val="28"/>
          <w:lang w:val="en-US" w:eastAsia="zh-CN" w:bidi="ar-SA"/>
        </w:rPr>
        <w:t xml:space="preserve"> Revere Geographic Revenue Exposure </w:t>
      </w:r>
      <w:r>
        <w:rPr>
          <w:rFonts w:hint="eastAsia" w:ascii="Times New Roman" w:hAnsi="Times New Roman" w:eastAsia="宋体" w:cs="Times New Roman"/>
          <w:bCs w:val="0"/>
          <w:kern w:val="2"/>
          <w:sz w:val="28"/>
          <w:szCs w:val="28"/>
          <w:lang w:val="en-US" w:eastAsia="zh-CN" w:bidi="ar-SA"/>
        </w:rPr>
        <w:t>（拟采购）</w:t>
      </w:r>
    </w:p>
    <w:p w14:paraId="72A3AB37">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数据内容 ：</w:t>
      </w:r>
    </w:p>
    <w:p w14:paraId="3F9E61F2">
      <w:pPr>
        <w:keepNext w:val="0"/>
        <w:keepLines w:val="0"/>
        <w:widowControl/>
        <w:suppressLineNumbers w:val="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w:t>
      </w:r>
      <w:r>
        <w:rPr>
          <w:rFonts w:hint="default" w:ascii="Times New Roman" w:hAnsi="Times New Roman" w:eastAsia="宋体" w:cs="Times New Roman"/>
          <w:bCs w:val="0"/>
          <w:kern w:val="2"/>
          <w:sz w:val="28"/>
          <w:szCs w:val="28"/>
          <w:lang w:val="en-US" w:eastAsia="zh-CN" w:bidi="ar-SA"/>
        </w:rPr>
        <w:t>1</w:t>
      </w:r>
      <w:r>
        <w:rPr>
          <w:rFonts w:hint="eastAsia" w:ascii="Times New Roman" w:hAnsi="Times New Roman" w:eastAsia="宋体" w:cs="Times New Roman"/>
          <w:bCs w:val="0"/>
          <w:kern w:val="2"/>
          <w:sz w:val="28"/>
          <w:szCs w:val="28"/>
          <w:lang w:val="en-US" w:eastAsia="zh-CN" w:bidi="ar-SA"/>
        </w:rPr>
        <w:t xml:space="preserve">）将超过 </w:t>
      </w:r>
      <w:r>
        <w:rPr>
          <w:rFonts w:hint="default" w:ascii="Times New Roman" w:hAnsi="Times New Roman" w:eastAsia="宋体" w:cs="Times New Roman"/>
          <w:bCs w:val="0"/>
          <w:kern w:val="2"/>
          <w:sz w:val="28"/>
          <w:szCs w:val="28"/>
          <w:lang w:val="en-US" w:eastAsia="zh-CN" w:bidi="ar-SA"/>
        </w:rPr>
        <w:t xml:space="preserve">280 </w:t>
      </w:r>
      <w:r>
        <w:rPr>
          <w:rFonts w:hint="eastAsia" w:ascii="Times New Roman" w:hAnsi="Times New Roman" w:eastAsia="宋体" w:cs="Times New Roman"/>
          <w:bCs w:val="0"/>
          <w:kern w:val="2"/>
          <w:sz w:val="28"/>
          <w:szCs w:val="28"/>
          <w:lang w:val="en-US" w:eastAsia="zh-CN" w:bidi="ar-SA"/>
        </w:rPr>
        <w:t xml:space="preserve">个国家及地区的收入分布数据标准化处理，以公司维度展示各企业的国家区域收入贡献。 </w:t>
      </w:r>
    </w:p>
    <w:p w14:paraId="0D7AD709">
      <w:pPr>
        <w:keepNext w:val="0"/>
        <w:keepLines w:val="0"/>
        <w:widowControl/>
        <w:suppressLineNumbers w:val="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w:t>
      </w:r>
      <w:r>
        <w:rPr>
          <w:rFonts w:hint="default" w:ascii="Times New Roman" w:hAnsi="Times New Roman" w:eastAsia="宋体" w:cs="Times New Roman"/>
          <w:bCs w:val="0"/>
          <w:kern w:val="2"/>
          <w:sz w:val="28"/>
          <w:szCs w:val="28"/>
          <w:lang w:val="en-US" w:eastAsia="zh-CN" w:bidi="ar-SA"/>
        </w:rPr>
        <w:t>2</w:t>
      </w:r>
      <w:r>
        <w:rPr>
          <w:rFonts w:hint="eastAsia" w:ascii="Times New Roman" w:hAnsi="Times New Roman" w:eastAsia="宋体" w:cs="Times New Roman"/>
          <w:bCs w:val="0"/>
          <w:kern w:val="2"/>
          <w:sz w:val="28"/>
          <w:szCs w:val="28"/>
          <w:lang w:val="en-US" w:eastAsia="zh-CN" w:bidi="ar-SA"/>
        </w:rPr>
        <w:t>）数据由行业分析师从公司财报等渠道获取，并结合</w:t>
      </w:r>
      <w:r>
        <w:rPr>
          <w:rFonts w:hint="default" w:ascii="Times New Roman" w:hAnsi="Times New Roman" w:eastAsia="宋体" w:cs="Times New Roman"/>
          <w:bCs w:val="0"/>
          <w:kern w:val="2"/>
          <w:sz w:val="28"/>
          <w:szCs w:val="28"/>
          <w:lang w:val="en-US" w:eastAsia="zh-CN" w:bidi="ar-SA"/>
        </w:rPr>
        <w:t>GDP</w:t>
      </w:r>
      <w:r>
        <w:rPr>
          <w:rFonts w:hint="eastAsia" w:ascii="Times New Roman" w:hAnsi="Times New Roman" w:eastAsia="宋体" w:cs="Times New Roman"/>
          <w:bCs w:val="0"/>
          <w:kern w:val="2"/>
          <w:sz w:val="28"/>
          <w:szCs w:val="28"/>
          <w:lang w:val="en-US" w:eastAsia="zh-CN" w:bidi="ar-SA"/>
        </w:rPr>
        <w:t xml:space="preserve">权重分配，置信因子等算法，将收入数据进一步精确到国家级的收入分配比。 </w:t>
      </w:r>
    </w:p>
    <w:p w14:paraId="1E83F01F">
      <w:pPr>
        <w:keepNext w:val="0"/>
        <w:keepLines w:val="0"/>
        <w:widowControl/>
        <w:suppressLineNumbers w:val="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w:t>
      </w:r>
      <w:r>
        <w:rPr>
          <w:rFonts w:hint="default" w:ascii="Times New Roman" w:hAnsi="Times New Roman" w:eastAsia="宋体" w:cs="Times New Roman"/>
          <w:bCs w:val="0"/>
          <w:kern w:val="2"/>
          <w:sz w:val="28"/>
          <w:szCs w:val="28"/>
          <w:lang w:val="en-US" w:eastAsia="zh-CN" w:bidi="ar-SA"/>
        </w:rPr>
        <w:t>3</w:t>
      </w:r>
      <w:r>
        <w:rPr>
          <w:rFonts w:hint="eastAsia" w:ascii="Times New Roman" w:hAnsi="Times New Roman" w:eastAsia="宋体" w:cs="Times New Roman"/>
          <w:bCs w:val="0"/>
          <w:kern w:val="2"/>
          <w:sz w:val="28"/>
          <w:szCs w:val="28"/>
          <w:lang w:val="en-US" w:eastAsia="zh-CN" w:bidi="ar-SA"/>
        </w:rPr>
        <w:t>）覆盖全球超过</w:t>
      </w:r>
      <w:r>
        <w:rPr>
          <w:rFonts w:hint="default" w:ascii="Times New Roman" w:hAnsi="Times New Roman" w:eastAsia="宋体" w:cs="Times New Roman"/>
          <w:bCs w:val="0"/>
          <w:kern w:val="2"/>
          <w:sz w:val="28"/>
          <w:szCs w:val="28"/>
          <w:lang w:val="en-US" w:eastAsia="zh-CN" w:bidi="ar-SA"/>
        </w:rPr>
        <w:t>46K</w:t>
      </w:r>
      <w:r>
        <w:rPr>
          <w:rFonts w:hint="eastAsia" w:ascii="Times New Roman" w:hAnsi="Times New Roman" w:eastAsia="宋体" w:cs="Times New Roman"/>
          <w:bCs w:val="0"/>
          <w:kern w:val="2"/>
          <w:sz w:val="28"/>
          <w:szCs w:val="28"/>
          <w:lang w:val="en-US" w:eastAsia="zh-CN" w:bidi="ar-SA"/>
        </w:rPr>
        <w:t>股票和</w:t>
      </w:r>
      <w:r>
        <w:rPr>
          <w:rFonts w:hint="default" w:ascii="Times New Roman" w:hAnsi="Times New Roman" w:eastAsia="宋体" w:cs="Times New Roman"/>
          <w:bCs w:val="0"/>
          <w:kern w:val="2"/>
          <w:sz w:val="28"/>
          <w:szCs w:val="28"/>
          <w:lang w:val="en-US" w:eastAsia="zh-CN" w:bidi="ar-SA"/>
        </w:rPr>
        <w:t>18,733</w:t>
      </w:r>
      <w:r>
        <w:rPr>
          <w:rFonts w:hint="eastAsia" w:ascii="Times New Roman" w:hAnsi="Times New Roman" w:eastAsia="宋体" w:cs="Times New Roman"/>
          <w:bCs w:val="0"/>
          <w:kern w:val="2"/>
          <w:sz w:val="28"/>
          <w:szCs w:val="28"/>
          <w:lang w:val="en-US" w:eastAsia="zh-CN" w:bidi="ar-SA"/>
        </w:rPr>
        <w:t>政府机构数据，</w:t>
      </w:r>
      <w:r>
        <w:rPr>
          <w:rFonts w:hint="default" w:ascii="Times New Roman" w:hAnsi="Times New Roman" w:eastAsia="宋体" w:cs="Times New Roman"/>
          <w:bCs w:val="0"/>
          <w:kern w:val="2"/>
          <w:sz w:val="28"/>
          <w:szCs w:val="28"/>
          <w:lang w:val="en-US" w:eastAsia="zh-CN" w:bidi="ar-SA"/>
        </w:rPr>
        <w:t>A</w:t>
      </w:r>
      <w:r>
        <w:rPr>
          <w:rFonts w:hint="eastAsia" w:ascii="Times New Roman" w:hAnsi="Times New Roman" w:eastAsia="宋体" w:cs="Times New Roman"/>
          <w:bCs w:val="0"/>
          <w:kern w:val="2"/>
          <w:sz w:val="28"/>
          <w:szCs w:val="28"/>
          <w:lang w:val="en-US" w:eastAsia="zh-CN" w:bidi="ar-SA"/>
        </w:rPr>
        <w:t xml:space="preserve">股全覆盖。 </w:t>
      </w:r>
    </w:p>
    <w:p w14:paraId="522C4A5A">
      <w:pPr>
        <w:keepNext w:val="0"/>
        <w:keepLines w:val="0"/>
        <w:widowControl/>
        <w:suppressLineNumbers w:val="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w:t>
      </w:r>
      <w:r>
        <w:rPr>
          <w:rFonts w:hint="default" w:ascii="Times New Roman" w:hAnsi="Times New Roman" w:eastAsia="宋体" w:cs="Times New Roman"/>
          <w:bCs w:val="0"/>
          <w:kern w:val="2"/>
          <w:sz w:val="28"/>
          <w:szCs w:val="28"/>
          <w:lang w:val="en-US" w:eastAsia="zh-CN" w:bidi="ar-SA"/>
        </w:rPr>
        <w:t>4</w:t>
      </w:r>
      <w:r>
        <w:rPr>
          <w:rFonts w:hint="eastAsia" w:ascii="Times New Roman" w:hAnsi="Times New Roman" w:eastAsia="宋体" w:cs="Times New Roman"/>
          <w:bCs w:val="0"/>
          <w:kern w:val="2"/>
          <w:sz w:val="28"/>
          <w:szCs w:val="28"/>
          <w:lang w:val="en-US" w:eastAsia="zh-CN" w:bidi="ar-SA"/>
        </w:rPr>
        <w:t>）数据历史覆盖：北美</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 xml:space="preserve">自 </w:t>
      </w:r>
      <w:r>
        <w:rPr>
          <w:rFonts w:hint="default" w:ascii="Times New Roman" w:hAnsi="Times New Roman" w:eastAsia="宋体" w:cs="Times New Roman"/>
          <w:bCs w:val="0"/>
          <w:kern w:val="2"/>
          <w:sz w:val="28"/>
          <w:szCs w:val="28"/>
          <w:lang w:val="en-US" w:eastAsia="zh-CN" w:bidi="ar-SA"/>
        </w:rPr>
        <w:t>2003</w:t>
      </w:r>
      <w:r>
        <w:rPr>
          <w:rFonts w:hint="eastAsia" w:ascii="Times New Roman" w:hAnsi="Times New Roman" w:eastAsia="宋体" w:cs="Times New Roman"/>
          <w:bCs w:val="0"/>
          <w:kern w:val="2"/>
          <w:sz w:val="28"/>
          <w:szCs w:val="28"/>
          <w:lang w:val="en-US" w:eastAsia="zh-CN" w:bidi="ar-SA"/>
        </w:rPr>
        <w:t>年；欧洲</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 xml:space="preserve">自 </w:t>
      </w:r>
      <w:r>
        <w:rPr>
          <w:rFonts w:hint="default" w:ascii="Times New Roman" w:hAnsi="Times New Roman" w:eastAsia="宋体" w:cs="Times New Roman"/>
          <w:bCs w:val="0"/>
          <w:kern w:val="2"/>
          <w:sz w:val="28"/>
          <w:szCs w:val="28"/>
          <w:lang w:val="en-US" w:eastAsia="zh-CN" w:bidi="ar-SA"/>
        </w:rPr>
        <w:t>2007</w:t>
      </w:r>
      <w:r>
        <w:rPr>
          <w:rFonts w:hint="eastAsia" w:ascii="Times New Roman" w:hAnsi="Times New Roman" w:eastAsia="宋体" w:cs="Times New Roman"/>
          <w:bCs w:val="0"/>
          <w:kern w:val="2"/>
          <w:sz w:val="28"/>
          <w:szCs w:val="28"/>
          <w:lang w:val="en-US" w:eastAsia="zh-CN" w:bidi="ar-SA"/>
        </w:rPr>
        <w:t>年；亚洲</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自</w:t>
      </w:r>
      <w:r>
        <w:rPr>
          <w:rFonts w:hint="default" w:ascii="Times New Roman" w:hAnsi="Times New Roman" w:eastAsia="宋体" w:cs="Times New Roman"/>
          <w:bCs w:val="0"/>
          <w:kern w:val="2"/>
          <w:sz w:val="28"/>
          <w:szCs w:val="28"/>
          <w:lang w:val="en-US" w:eastAsia="zh-CN" w:bidi="ar-SA"/>
        </w:rPr>
        <w:t>2007</w:t>
      </w:r>
      <w:r>
        <w:rPr>
          <w:rFonts w:hint="eastAsia" w:ascii="Times New Roman" w:hAnsi="Times New Roman" w:eastAsia="宋体" w:cs="Times New Roman"/>
          <w:bCs w:val="0"/>
          <w:kern w:val="2"/>
          <w:sz w:val="28"/>
          <w:szCs w:val="28"/>
          <w:lang w:val="en-US" w:eastAsia="zh-CN" w:bidi="ar-SA"/>
        </w:rPr>
        <w:t xml:space="preserve">年 </w:t>
      </w:r>
      <w:r>
        <w:rPr>
          <w:rFonts w:hint="eastAsia" w:cs="Times New Roman"/>
          <w:bCs w:val="0"/>
          <w:kern w:val="2"/>
          <w:sz w:val="28"/>
          <w:szCs w:val="28"/>
          <w:lang w:val="en-US" w:eastAsia="zh-CN" w:bidi="ar-SA"/>
        </w:rPr>
        <w:t>。</w:t>
      </w:r>
    </w:p>
    <w:p w14:paraId="3B2F6E89">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数据亮点及优势 ：</w:t>
      </w:r>
    </w:p>
    <w:p w14:paraId="60A28366">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default" w:ascii="Times New Roman" w:hAnsi="Times New Roman" w:eastAsia="宋体" w:cs="Times New Roman"/>
          <w:bCs w:val="0"/>
          <w:kern w:val="2"/>
          <w:sz w:val="28"/>
          <w:szCs w:val="28"/>
          <w:lang w:val="en-US" w:eastAsia="zh-CN" w:bidi="ar-SA"/>
        </w:rPr>
        <w:t xml:space="preserve">FactSet </w:t>
      </w:r>
      <w:r>
        <w:rPr>
          <w:rFonts w:hint="eastAsia" w:ascii="Times New Roman" w:hAnsi="Times New Roman" w:eastAsia="宋体" w:cs="Times New Roman"/>
          <w:bCs w:val="0"/>
          <w:kern w:val="2"/>
          <w:sz w:val="28"/>
          <w:szCs w:val="28"/>
          <w:lang w:val="en-US" w:eastAsia="zh-CN" w:bidi="ar-SA"/>
        </w:rPr>
        <w:t>独家数据。近些年</w:t>
      </w:r>
      <w:r>
        <w:rPr>
          <w:rFonts w:hint="default" w:ascii="Times New Roman" w:hAnsi="Times New Roman" w:eastAsia="宋体" w:cs="Times New Roman"/>
          <w:bCs w:val="0"/>
          <w:kern w:val="2"/>
          <w:sz w:val="28"/>
          <w:szCs w:val="28"/>
          <w:lang w:val="en-US" w:eastAsia="zh-CN" w:bidi="ar-SA"/>
        </w:rPr>
        <w:t>Revere</w:t>
      </w:r>
      <w:r>
        <w:rPr>
          <w:rFonts w:hint="eastAsia" w:ascii="Times New Roman" w:hAnsi="Times New Roman" w:eastAsia="宋体" w:cs="Times New Roman"/>
          <w:bCs w:val="0"/>
          <w:kern w:val="2"/>
          <w:sz w:val="28"/>
          <w:szCs w:val="28"/>
          <w:lang w:val="en-US" w:eastAsia="zh-CN" w:bidi="ar-SA"/>
        </w:rPr>
        <w:t>国家收益贡献数据在全球和国内资管公司，对冲基金、公募基金、私募基金等得到运用，并获得验证及认可。可单独或结合</w:t>
      </w:r>
      <w:r>
        <w:rPr>
          <w:rFonts w:hint="default" w:ascii="Times New Roman" w:hAnsi="Times New Roman" w:eastAsia="宋体" w:cs="Times New Roman"/>
          <w:bCs w:val="0"/>
          <w:kern w:val="2"/>
          <w:sz w:val="28"/>
          <w:szCs w:val="28"/>
          <w:lang w:val="en-US" w:eastAsia="zh-CN" w:bidi="ar-SA"/>
        </w:rPr>
        <w:t>Revere</w:t>
      </w:r>
      <w:r>
        <w:rPr>
          <w:rFonts w:hint="eastAsia" w:ascii="Times New Roman" w:hAnsi="Times New Roman" w:eastAsia="宋体" w:cs="Times New Roman"/>
          <w:bCs w:val="0"/>
          <w:kern w:val="2"/>
          <w:sz w:val="28"/>
          <w:szCs w:val="28"/>
          <w:lang w:val="en-US" w:eastAsia="zh-CN" w:bidi="ar-SA"/>
        </w:rPr>
        <w:t>其他另类数据一起使用于投研业务</w:t>
      </w:r>
      <w:r>
        <w:rPr>
          <w:rFonts w:hint="eastAsia"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帮助投资者了解企业</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资产组合的国家地区级风险，配置基金</w:t>
      </w:r>
      <w:r>
        <w:rPr>
          <w:rFonts w:hint="default" w:ascii="Times New Roman" w:hAnsi="Times New Roman" w:eastAsia="宋体" w:cs="Times New Roman"/>
          <w:bCs w:val="0"/>
          <w:kern w:val="2"/>
          <w:sz w:val="28"/>
          <w:szCs w:val="28"/>
          <w:lang w:val="en-US" w:eastAsia="zh-CN" w:bidi="ar-SA"/>
        </w:rPr>
        <w:t>/</w:t>
      </w:r>
      <w:r>
        <w:rPr>
          <w:rFonts w:hint="eastAsia" w:ascii="Times New Roman" w:hAnsi="Times New Roman" w:eastAsia="宋体" w:cs="Times New Roman"/>
          <w:bCs w:val="0"/>
          <w:kern w:val="2"/>
          <w:sz w:val="28"/>
          <w:szCs w:val="28"/>
          <w:lang w:val="en-US" w:eastAsia="zh-CN" w:bidi="ar-SA"/>
        </w:rPr>
        <w:t>投资组合等。</w:t>
      </w:r>
      <w:r>
        <w:rPr>
          <w:rFonts w:hint="default" w:ascii="Times New Roman" w:hAnsi="Times New Roman" w:eastAsia="宋体" w:cs="Times New Roman"/>
          <w:bCs w:val="0"/>
          <w:kern w:val="2"/>
          <w:sz w:val="28"/>
          <w:szCs w:val="28"/>
          <w:lang w:val="en-US" w:eastAsia="zh-CN" w:bidi="ar-SA"/>
        </w:rPr>
        <w:t>A</w:t>
      </w:r>
      <w:r>
        <w:rPr>
          <w:rFonts w:hint="eastAsia" w:ascii="Times New Roman" w:hAnsi="Times New Roman" w:eastAsia="宋体" w:cs="Times New Roman"/>
          <w:bCs w:val="0"/>
          <w:kern w:val="2"/>
          <w:sz w:val="28"/>
          <w:szCs w:val="28"/>
          <w:lang w:val="en-US" w:eastAsia="zh-CN" w:bidi="ar-SA"/>
        </w:rPr>
        <w:t>股盖</w:t>
      </w:r>
      <w:r>
        <w:rPr>
          <w:rFonts w:hint="default" w:ascii="Times New Roman" w:hAnsi="Times New Roman" w:eastAsia="宋体" w:cs="Times New Roman"/>
          <w:bCs w:val="0"/>
          <w:kern w:val="2"/>
          <w:sz w:val="28"/>
          <w:szCs w:val="28"/>
          <w:lang w:val="en-US" w:eastAsia="zh-CN" w:bidi="ar-SA"/>
        </w:rPr>
        <w:t>98%</w:t>
      </w:r>
      <w:r>
        <w:rPr>
          <w:rFonts w:hint="eastAsia" w:ascii="Times New Roman" w:hAnsi="Times New Roman" w:eastAsia="宋体" w:cs="Times New Roman"/>
          <w:bCs w:val="0"/>
          <w:kern w:val="2"/>
          <w:sz w:val="28"/>
          <w:szCs w:val="28"/>
          <w:lang w:val="en-US" w:eastAsia="zh-CN" w:bidi="ar-SA"/>
        </w:rPr>
        <w:t>，沪深</w:t>
      </w:r>
      <w:r>
        <w:rPr>
          <w:rFonts w:hint="default" w:ascii="Times New Roman" w:hAnsi="Times New Roman" w:eastAsia="宋体" w:cs="Times New Roman"/>
          <w:bCs w:val="0"/>
          <w:kern w:val="2"/>
          <w:sz w:val="28"/>
          <w:szCs w:val="28"/>
          <w:lang w:val="en-US" w:eastAsia="zh-CN" w:bidi="ar-SA"/>
        </w:rPr>
        <w:t>300 &amp;</w:t>
      </w:r>
      <w:r>
        <w:rPr>
          <w:rFonts w:hint="eastAsia" w:ascii="Times New Roman" w:hAnsi="Times New Roman" w:eastAsia="宋体" w:cs="Times New Roman"/>
          <w:bCs w:val="0"/>
          <w:kern w:val="2"/>
          <w:sz w:val="28"/>
          <w:szCs w:val="28"/>
          <w:lang w:val="en-US" w:eastAsia="zh-CN" w:bidi="ar-SA"/>
        </w:rPr>
        <w:t>中证</w:t>
      </w:r>
      <w:r>
        <w:rPr>
          <w:rFonts w:hint="default" w:ascii="Times New Roman" w:hAnsi="Times New Roman" w:eastAsia="宋体" w:cs="Times New Roman"/>
          <w:bCs w:val="0"/>
          <w:kern w:val="2"/>
          <w:sz w:val="28"/>
          <w:szCs w:val="28"/>
          <w:lang w:val="en-US" w:eastAsia="zh-CN" w:bidi="ar-SA"/>
        </w:rPr>
        <w:t>500</w:t>
      </w:r>
      <w:r>
        <w:rPr>
          <w:rFonts w:hint="eastAsia" w:ascii="Times New Roman" w:hAnsi="Times New Roman" w:eastAsia="宋体" w:cs="Times New Roman"/>
          <w:bCs w:val="0"/>
          <w:kern w:val="2"/>
          <w:sz w:val="28"/>
          <w:szCs w:val="28"/>
          <w:lang w:val="en-US" w:eastAsia="zh-CN" w:bidi="ar-SA"/>
        </w:rPr>
        <w:t xml:space="preserve">覆盖 </w:t>
      </w:r>
      <w:r>
        <w:rPr>
          <w:rFonts w:hint="default" w:ascii="Times New Roman" w:hAnsi="Times New Roman" w:eastAsia="宋体" w:cs="Times New Roman"/>
          <w:bCs w:val="0"/>
          <w:kern w:val="2"/>
          <w:sz w:val="28"/>
          <w:szCs w:val="28"/>
          <w:lang w:val="en-US" w:eastAsia="zh-CN" w:bidi="ar-SA"/>
        </w:rPr>
        <w:t>99%</w:t>
      </w:r>
      <w:r>
        <w:rPr>
          <w:rFonts w:hint="eastAsia" w:ascii="Times New Roman" w:hAnsi="Times New Roman" w:eastAsia="宋体" w:cs="Times New Roman"/>
          <w:bCs w:val="0"/>
          <w:kern w:val="2"/>
          <w:sz w:val="28"/>
          <w:szCs w:val="28"/>
          <w:lang w:val="en-US" w:eastAsia="zh-CN" w:bidi="ar-SA"/>
        </w:rPr>
        <w:t>。</w:t>
      </w:r>
      <w:r>
        <w:rPr>
          <w:rFonts w:hint="default" w:ascii="Times New Roman" w:hAnsi="Times New Roman" w:eastAsia="宋体" w:cs="Times New Roman"/>
          <w:bCs w:val="0"/>
          <w:kern w:val="2"/>
          <w:sz w:val="28"/>
          <w:szCs w:val="28"/>
          <w:lang w:val="en-US" w:eastAsia="zh-CN" w:bidi="ar-SA"/>
        </w:rPr>
        <w:t xml:space="preserve"> </w:t>
      </w:r>
    </w:p>
    <w:p w14:paraId="08F211A8">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 xml:space="preserve">参考链接 </w:t>
      </w:r>
    </w:p>
    <w:p w14:paraId="4596FAAE">
      <w:pPr>
        <w:keepNext w:val="0"/>
        <w:keepLines w:val="0"/>
        <w:widowControl/>
        <w:suppressLineNumbers w:val="0"/>
        <w:ind w:firstLine="560" w:firstLineChars="200"/>
        <w:jc w:val="left"/>
        <w:rPr>
          <w:rFonts w:hint="eastAsia" w:ascii="Times New Roman" w:hAnsi="Times New Roman" w:eastAsia="宋体" w:cs="Times New Roman"/>
          <w:bCs w:val="0"/>
          <w:kern w:val="2"/>
          <w:sz w:val="28"/>
          <w:szCs w:val="28"/>
          <w:lang w:val="en-US" w:eastAsia="zh-CN" w:bidi="ar-SA"/>
        </w:rPr>
      </w:pPr>
      <w:r>
        <w:rPr>
          <w:rFonts w:hint="default" w:ascii="Times New Roman" w:hAnsi="Times New Roman" w:eastAsia="宋体" w:cs="Times New Roman"/>
          <w:bCs w:val="0"/>
          <w:kern w:val="2"/>
          <w:sz w:val="28"/>
          <w:szCs w:val="28"/>
          <w:lang w:val="en-US" w:eastAsia="zh-CN" w:bidi="ar-SA"/>
        </w:rPr>
        <w:t>https://open.factset.com/catalog/products/factset-geographic-revenue-exposure/en-us</w:t>
      </w:r>
    </w:p>
    <w:p w14:paraId="7FF0D8ED">
      <w:pPr>
        <w:pStyle w:val="3"/>
      </w:pPr>
      <w:r>
        <w:rPr>
          <w:rFonts w:hint="eastAsia"/>
        </w:rPr>
        <w:t>2</w:t>
      </w:r>
      <w:r>
        <w:t xml:space="preserve">. </w:t>
      </w:r>
      <w:r>
        <w:rPr>
          <w:rFonts w:hint="eastAsia"/>
        </w:rPr>
        <w:t>使用说明</w:t>
      </w:r>
    </w:p>
    <w:p w14:paraId="670C9503">
      <w:pPr>
        <w:ind w:firstLine="560" w:firstLineChars="200"/>
        <w:rPr>
          <w:rFonts w:hint="eastAsia" w:ascii="Times New Roman" w:hAnsi="Times New Roman" w:eastAsia="宋体" w:cs="Times New Roman"/>
          <w:bCs w:val="0"/>
          <w:kern w:val="2"/>
          <w:sz w:val="28"/>
          <w:szCs w:val="28"/>
          <w:lang w:val="en-US" w:eastAsia="zh-CN" w:bidi="ar-SA"/>
        </w:rPr>
      </w:pPr>
      <w:r>
        <w:rPr>
          <w:rFonts w:hint="eastAsia" w:ascii="Times New Roman" w:hAnsi="Times New Roman" w:eastAsia="宋体" w:cs="Times New Roman"/>
          <w:bCs w:val="0"/>
          <w:kern w:val="2"/>
          <w:sz w:val="28"/>
          <w:szCs w:val="28"/>
          <w:lang w:val="en-US" w:eastAsia="zh-CN" w:bidi="ar-SA"/>
        </w:rPr>
        <w:t>联系实验室老师（23498985），拷贝数据，加入用户使用群。</w:t>
      </w:r>
    </w:p>
    <w:p w14:paraId="0B195377">
      <w:pPr>
        <w:rPr>
          <w:rFonts w:eastAsia="黑体"/>
          <w:b/>
          <w:bCs/>
          <w:sz w:val="28"/>
          <w:szCs w:val="32"/>
          <w:lang w:val="zh-CN"/>
        </w:rPr>
      </w:pPr>
    </w:p>
    <w:p w14:paraId="7F5C836D">
      <w:pPr>
        <w:rPr>
          <w:rFonts w:eastAsia="黑体"/>
          <w:b/>
          <w:bCs/>
          <w:sz w:val="28"/>
          <w:szCs w:val="32"/>
          <w:lang w:val="zh-CN"/>
        </w:rPr>
      </w:pPr>
      <w:r>
        <w:rPr>
          <w:rFonts w:hint="eastAsia" w:eastAsia="黑体"/>
          <w:b/>
          <w:bCs/>
          <w:sz w:val="28"/>
          <w:szCs w:val="32"/>
          <w:lang w:val="zh-CN"/>
        </w:rPr>
        <w:t>十四．财新数据</w:t>
      </w:r>
    </w:p>
    <w:p w14:paraId="06745A55">
      <w:pPr>
        <w:pStyle w:val="3"/>
      </w:pPr>
      <w:r>
        <w:rPr>
          <w:rFonts w:hint="eastAsia"/>
          <w:lang w:val="en-US" w:eastAsia="zh-CN"/>
        </w:rPr>
        <w:t xml:space="preserve">1. </w:t>
      </w:r>
      <w:r>
        <w:t>数据库介绍</w:t>
      </w:r>
    </w:p>
    <w:p w14:paraId="2B949CE3">
      <w:pPr>
        <w:ind w:firstLine="560" w:firstLineChars="200"/>
        <w:rPr>
          <w:rFonts w:hint="eastAsia"/>
          <w:sz w:val="28"/>
          <w:szCs w:val="28"/>
        </w:rPr>
      </w:pPr>
      <w:r>
        <w:rPr>
          <w:sz w:val="28"/>
          <w:szCs w:val="28"/>
        </w:rPr>
        <w:t>财新是全球知名的财经类媒体集团，比肩路透社、彭博社。财新202</w:t>
      </w:r>
      <w:r>
        <w:rPr>
          <w:rFonts w:hint="eastAsia"/>
          <w:sz w:val="28"/>
          <w:szCs w:val="28"/>
          <w:lang w:val="en-US" w:eastAsia="zh-CN"/>
        </w:rPr>
        <w:t>4</w:t>
      </w:r>
      <w:r>
        <w:rPr>
          <w:sz w:val="28"/>
          <w:szCs w:val="28"/>
        </w:rPr>
        <w:t>年付费用户已超过1</w:t>
      </w:r>
      <w:r>
        <w:rPr>
          <w:rFonts w:hint="eastAsia"/>
          <w:sz w:val="28"/>
          <w:szCs w:val="28"/>
          <w:lang w:val="en-US" w:eastAsia="zh-CN"/>
        </w:rPr>
        <w:t>2</w:t>
      </w:r>
      <w:r>
        <w:rPr>
          <w:sz w:val="28"/>
          <w:szCs w:val="28"/>
        </w:rPr>
        <w:t>0万，全球付费新闻机构里排名第8，是亚洲唯一入榜的付费新闻机构。目前为南开经院开通的产品内容包括：</w:t>
      </w:r>
    </w:p>
    <w:p w14:paraId="697F1B19">
      <w:pPr>
        <w:ind w:firstLine="562" w:firstLineChars="200"/>
        <w:rPr>
          <w:rFonts w:hint="eastAsia"/>
          <w:sz w:val="28"/>
          <w:szCs w:val="28"/>
        </w:rPr>
      </w:pPr>
      <w:r>
        <w:rPr>
          <w:b/>
          <w:bCs/>
          <w:sz w:val="28"/>
          <w:szCs w:val="28"/>
        </w:rPr>
        <w:t>1.</w:t>
      </w:r>
      <w:r>
        <w:rPr>
          <w:rFonts w:hint="eastAsia"/>
          <w:b/>
          <w:bCs/>
          <w:sz w:val="28"/>
          <w:szCs w:val="28"/>
          <w:lang w:val="en-US" w:eastAsia="zh-CN"/>
        </w:rPr>
        <w:t>1</w:t>
      </w:r>
      <w:r>
        <w:rPr>
          <w:b/>
          <w:bCs/>
          <w:sz w:val="28"/>
          <w:szCs w:val="28"/>
        </w:rPr>
        <w:t>财新新闻（独立版权）</w:t>
      </w:r>
      <w:r>
        <w:rPr>
          <w:sz w:val="28"/>
          <w:szCs w:val="28"/>
        </w:rPr>
        <w:t>：覆盖财经、时政、宏观、科技、环境、地产、消费等多个热门领域，有助于高校师生拓宽视野、丰富事件思考角度、论文设计选题、研究方向选择或优化、及时把握全球热点动态与趋势。</w:t>
      </w:r>
    </w:p>
    <w:p w14:paraId="1F8A73BD">
      <w:pPr>
        <w:ind w:firstLine="562" w:firstLineChars="200"/>
        <w:rPr>
          <w:b/>
          <w:bCs/>
          <w:sz w:val="28"/>
          <w:szCs w:val="28"/>
        </w:rPr>
      </w:pPr>
      <w:r>
        <w:rPr>
          <w:rFonts w:hint="eastAsia"/>
          <w:b/>
          <w:bCs/>
          <w:sz w:val="28"/>
          <w:szCs w:val="28"/>
          <w:lang w:val="en-US" w:eastAsia="zh-CN"/>
        </w:rPr>
        <w:t>1.2</w:t>
      </w:r>
      <w:r>
        <w:rPr>
          <w:b/>
          <w:bCs/>
          <w:sz w:val="28"/>
          <w:szCs w:val="28"/>
        </w:rPr>
        <w:t>数据库及自有研究报告</w:t>
      </w:r>
    </w:p>
    <w:p w14:paraId="012237C0">
      <w:pPr>
        <w:ind w:firstLine="560" w:firstLineChars="200"/>
        <w:rPr>
          <w:sz w:val="28"/>
          <w:szCs w:val="28"/>
        </w:rPr>
      </w:pPr>
      <w:r>
        <w:rPr>
          <w:rFonts w:hint="eastAsia"/>
          <w:sz w:val="28"/>
          <w:szCs w:val="28"/>
        </w:rPr>
        <w:t>基础库（仅可查阅）：包括企业库、人物库、</w:t>
      </w:r>
      <w:r>
        <w:rPr>
          <w:sz w:val="28"/>
          <w:szCs w:val="28"/>
        </w:rPr>
        <w:t>A股港股、上市债券库、</w:t>
      </w:r>
      <w:r>
        <w:rPr>
          <w:rFonts w:hint="eastAsia"/>
          <w:sz w:val="28"/>
          <w:szCs w:val="28"/>
          <w:lang w:val="en-US" w:eastAsia="zh-CN"/>
        </w:rPr>
        <w:t>财新宏观经济指数</w:t>
      </w:r>
      <w:r>
        <w:rPr>
          <w:sz w:val="28"/>
          <w:szCs w:val="28"/>
        </w:rPr>
        <w:t>、中国大宗商品指数数据库，方便高校师生日常查阅和基础性研究使用。</w:t>
      </w:r>
    </w:p>
    <w:p w14:paraId="05AA0ED7">
      <w:pPr>
        <w:numPr>
          <w:ilvl w:val="0"/>
          <w:numId w:val="0"/>
        </w:numPr>
        <w:ind w:firstLine="562" w:firstLineChars="200"/>
        <w:rPr>
          <w:sz w:val="28"/>
          <w:szCs w:val="28"/>
        </w:rPr>
      </w:pPr>
      <w:r>
        <w:rPr>
          <w:rFonts w:hint="eastAsia"/>
          <w:b/>
          <w:bCs/>
          <w:sz w:val="28"/>
          <w:szCs w:val="28"/>
          <w:lang w:val="en-US" w:eastAsia="zh-CN"/>
        </w:rPr>
        <w:t>1.3</w:t>
      </w:r>
      <w:r>
        <w:rPr>
          <w:b/>
          <w:bCs/>
          <w:sz w:val="28"/>
          <w:szCs w:val="28"/>
        </w:rPr>
        <w:t>专家观点</w:t>
      </w:r>
      <w:r>
        <w:rPr>
          <w:sz w:val="28"/>
          <w:szCs w:val="28"/>
        </w:rPr>
        <w:t>：包含丰富的专家学者观点、博客，有针对当下热点发表的主题文章、以及对中国经济发展的深度思考。</w:t>
      </w:r>
    </w:p>
    <w:p w14:paraId="281838AE">
      <w:pPr>
        <w:pStyle w:val="3"/>
      </w:pPr>
      <w:r>
        <w:rPr>
          <w:rFonts w:hint="eastAsia"/>
        </w:rPr>
        <w:t>2</w:t>
      </w:r>
      <w:r>
        <w:t xml:space="preserve">. </w:t>
      </w:r>
      <w:r>
        <w:rPr>
          <w:rFonts w:hint="eastAsia"/>
        </w:rPr>
        <w:t>使用说明</w:t>
      </w:r>
    </w:p>
    <w:p w14:paraId="35A03137">
      <w:pPr>
        <w:rPr>
          <w:sz w:val="28"/>
          <w:szCs w:val="28"/>
        </w:rPr>
      </w:pPr>
      <w:r>
        <w:rPr>
          <w:rFonts w:hint="eastAsia" w:eastAsia="黑体"/>
          <w:b/>
          <w:bCs/>
          <w:sz w:val="28"/>
          <w:szCs w:val="32"/>
          <w:lang w:val="zh-CN"/>
        </w:rPr>
        <w:t xml:space="preserve"> </w:t>
      </w:r>
      <w:r>
        <w:rPr>
          <w:rFonts w:eastAsia="黑体"/>
          <w:b/>
          <w:bCs/>
          <w:sz w:val="28"/>
          <w:szCs w:val="32"/>
          <w:lang w:val="zh-CN"/>
        </w:rPr>
        <w:t xml:space="preserve"> </w:t>
      </w:r>
      <w:r>
        <w:rPr>
          <w:sz w:val="28"/>
          <w:szCs w:val="28"/>
          <w:lang w:val="zh-CN"/>
        </w:rPr>
        <w:t xml:space="preserve"> </w:t>
      </w:r>
      <w:r>
        <w:rPr>
          <w:rFonts w:hint="eastAsia"/>
          <w:sz w:val="28"/>
          <w:szCs w:val="28"/>
          <w:lang w:val="en-US" w:eastAsia="zh-CN"/>
        </w:rPr>
        <w:t xml:space="preserve"> </w:t>
      </w:r>
      <w:r>
        <w:rPr>
          <w:rFonts w:hint="eastAsia"/>
          <w:sz w:val="28"/>
          <w:szCs w:val="28"/>
        </w:rPr>
        <w:t>联系实验室老师（2</w:t>
      </w:r>
      <w:r>
        <w:rPr>
          <w:sz w:val="28"/>
          <w:szCs w:val="28"/>
        </w:rPr>
        <w:t>3498985</w:t>
      </w:r>
      <w:r>
        <w:rPr>
          <w:rFonts w:hint="eastAsia"/>
          <w:sz w:val="28"/>
          <w:szCs w:val="28"/>
        </w:rPr>
        <w:t>），</w:t>
      </w:r>
      <w:r>
        <w:rPr>
          <w:rFonts w:hint="eastAsia"/>
          <w:sz w:val="28"/>
          <w:szCs w:val="28"/>
          <w:lang w:val="en-US" w:eastAsia="zh-CN"/>
        </w:rPr>
        <w:t>开设个人账号，或</w:t>
      </w:r>
      <w:r>
        <w:rPr>
          <w:rFonts w:hint="eastAsia"/>
          <w:sz w:val="28"/>
          <w:szCs w:val="28"/>
        </w:rPr>
        <w:t>在实验室查阅数据库内容。</w:t>
      </w:r>
    </w:p>
    <w:p w14:paraId="49654C9C">
      <w:pPr>
        <w:rPr>
          <w:rFonts w:eastAsia="黑体"/>
          <w:b/>
          <w:bCs/>
          <w:sz w:val="28"/>
          <w:szCs w:val="32"/>
        </w:rPr>
      </w:pPr>
    </w:p>
    <w:p w14:paraId="2051941C">
      <w:pPr>
        <w:numPr>
          <w:ilvl w:val="0"/>
          <w:numId w:val="6"/>
        </w:numPr>
        <w:rPr>
          <w:rFonts w:hint="eastAsia" w:eastAsia="黑体"/>
          <w:b/>
          <w:bCs/>
          <w:sz w:val="28"/>
          <w:szCs w:val="32"/>
        </w:rPr>
      </w:pPr>
      <w:r>
        <w:rPr>
          <w:rFonts w:hint="eastAsia" w:eastAsia="黑体"/>
          <w:b/>
          <w:bCs/>
          <w:sz w:val="28"/>
          <w:szCs w:val="32"/>
        </w:rPr>
        <w:t>Bloomberg（彭博）金融终端</w:t>
      </w:r>
    </w:p>
    <w:p w14:paraId="412D7BAF">
      <w:pPr>
        <w:pStyle w:val="3"/>
      </w:pPr>
      <w:r>
        <w:rPr>
          <w:rFonts w:hint="eastAsia"/>
        </w:rPr>
        <w:t>1</w:t>
      </w:r>
      <w:r>
        <w:t xml:space="preserve"> 数据库介绍</w:t>
      </w:r>
    </w:p>
    <w:p w14:paraId="0ED23A05">
      <w:pPr>
        <w:ind w:firstLine="560" w:firstLineChars="200"/>
        <w:rPr>
          <w:rFonts w:hint="eastAsia"/>
          <w:sz w:val="28"/>
          <w:szCs w:val="28"/>
          <w:lang w:val="en-US" w:eastAsia="zh-CN"/>
        </w:rPr>
      </w:pPr>
      <w:r>
        <w:rPr>
          <w:rFonts w:hint="eastAsia"/>
          <w:sz w:val="28"/>
          <w:szCs w:val="28"/>
          <w:lang w:val="en-US" w:eastAsia="zh-CN"/>
        </w:rPr>
        <w:t>彭博公司是一家具有独特创新能力的金融信息公司，向全球金融专业人士提供资讯、数据与媒体服务。布隆伯格先生创建本公司的初衷就是为了通过向全球所有的金融机构提 供及时准确的市场信息提高市场透明度，同时在一个整合的平台上为金融专业人士开发分析市场所需的各种工具及数据。</w:t>
      </w:r>
    </w:p>
    <w:p w14:paraId="56AE6D8A">
      <w:pPr>
        <w:ind w:firstLine="560" w:firstLineChars="200"/>
        <w:rPr>
          <w:rFonts w:hint="eastAsia"/>
          <w:sz w:val="28"/>
          <w:szCs w:val="28"/>
          <w:lang w:val="en-US" w:eastAsia="zh-CN"/>
        </w:rPr>
      </w:pPr>
      <w:r>
        <w:rPr>
          <w:rFonts w:hint="eastAsia"/>
          <w:sz w:val="28"/>
          <w:szCs w:val="28"/>
          <w:lang w:val="en-US" w:eastAsia="zh-CN"/>
        </w:rPr>
        <w:t>彭博数据可灵活显示、计算精确、实时更新的全球金融市场数据。彭博数据是从交易所、各报价银行、中介、公司文件中直接收集的，包括证券参考信息、推算数据、公司活动公报、公司财务数据以及每日历史报价。彭博数据的准确度在业内有口皆碑。</w:t>
      </w:r>
    </w:p>
    <w:p w14:paraId="710936A1">
      <w:pPr>
        <w:ind w:firstLine="562" w:firstLineChars="200"/>
        <w:rPr>
          <w:rFonts w:hint="default"/>
          <w:sz w:val="28"/>
          <w:szCs w:val="28"/>
        </w:rPr>
      </w:pPr>
      <w:r>
        <w:rPr>
          <w:rFonts w:hint="eastAsia"/>
          <w:b/>
          <w:bCs/>
          <w:sz w:val="28"/>
          <w:szCs w:val="28"/>
          <w:lang w:val="en-US" w:eastAsia="zh-CN"/>
        </w:rPr>
        <w:t>强有力的分析功能</w:t>
      </w:r>
      <w:r>
        <w:rPr>
          <w:rFonts w:hint="eastAsia"/>
          <w:sz w:val="28"/>
          <w:szCs w:val="28"/>
          <w:lang w:val="en-US" w:eastAsia="zh-CN"/>
        </w:rPr>
        <w:t xml:space="preserve"> — 彭博专业服务提供超过 3 万个分析功能，如行业内先进的市场分析工具、图表分析功能、公司财务分析模型、依据用户自定义复杂条件证券筛选模型、投资组合管理及因子模型、衍生品定价模型、多资产风险管理工具等，以数据作依托，通过精确计算帮助使用者做出考虑全面决策。 </w:t>
      </w:r>
    </w:p>
    <w:p w14:paraId="249E1F85">
      <w:pPr>
        <w:ind w:firstLine="562" w:firstLineChars="200"/>
        <w:rPr>
          <w:rFonts w:hint="default"/>
          <w:sz w:val="28"/>
          <w:szCs w:val="28"/>
        </w:rPr>
      </w:pPr>
      <w:r>
        <w:rPr>
          <w:rFonts w:hint="eastAsia"/>
          <w:b/>
          <w:bCs/>
          <w:sz w:val="28"/>
          <w:szCs w:val="28"/>
          <w:lang w:val="en-US" w:eastAsia="zh-CN"/>
        </w:rPr>
        <w:t>实时行情显示</w:t>
      </w:r>
      <w:r>
        <w:rPr>
          <w:rFonts w:hint="eastAsia"/>
          <w:sz w:val="28"/>
          <w:szCs w:val="28"/>
          <w:lang w:val="en-US" w:eastAsia="zh-CN"/>
        </w:rPr>
        <w:t xml:space="preserve"> — 彭博的灵活屏利用可以充分自定义的桌面显示模块，提供一系列的行情报价表及各种个性化功能。它们将彭博系统上的市场数据按照用户希望的形式自由的呈现在电脑屏幕上的任何地方。该功能在充分使用彭博系统中庞大数据的同时，也受益Window 基础上操作的灵活性。 </w:t>
      </w:r>
    </w:p>
    <w:p w14:paraId="43AD9BB3">
      <w:pPr>
        <w:ind w:firstLine="562" w:firstLineChars="200"/>
        <w:rPr>
          <w:rFonts w:hint="default"/>
          <w:sz w:val="28"/>
          <w:szCs w:val="28"/>
        </w:rPr>
      </w:pPr>
      <w:r>
        <w:rPr>
          <w:rFonts w:hint="eastAsia"/>
          <w:b/>
          <w:bCs/>
          <w:sz w:val="28"/>
          <w:szCs w:val="28"/>
          <w:lang w:val="en-US" w:eastAsia="zh-CN"/>
        </w:rPr>
        <w:t xml:space="preserve">彭博新闻 </w:t>
      </w:r>
      <w:r>
        <w:rPr>
          <w:rFonts w:hint="eastAsia"/>
          <w:sz w:val="28"/>
          <w:szCs w:val="28"/>
          <w:lang w:val="en-US" w:eastAsia="zh-CN"/>
        </w:rPr>
        <w:t xml:space="preserve">— 快速、全面的全球市场、经济、公司、政治、体育与其它新闻报道。彭博系统可以为用户甄别浏览量最大的热门报道，以及它们对市场的关联和影响。用户也可以通过自设逻辑条件轻松快捷的查找筛选新闻，运用于对市场的研究分析中。 </w:t>
      </w:r>
    </w:p>
    <w:p w14:paraId="6C615F54">
      <w:pPr>
        <w:ind w:firstLine="562" w:firstLineChars="200"/>
        <w:rPr>
          <w:rFonts w:hint="default"/>
          <w:sz w:val="28"/>
          <w:szCs w:val="28"/>
        </w:rPr>
      </w:pPr>
      <w:r>
        <w:rPr>
          <w:rFonts w:hint="eastAsia"/>
          <w:b/>
          <w:bCs/>
          <w:sz w:val="28"/>
          <w:szCs w:val="28"/>
          <w:lang w:val="en-US" w:eastAsia="zh-CN"/>
        </w:rPr>
        <w:t>电子邮件通讯</w:t>
      </w:r>
      <w:r>
        <w:rPr>
          <w:rFonts w:hint="eastAsia"/>
          <w:sz w:val="28"/>
          <w:szCs w:val="28"/>
          <w:lang w:val="en-US" w:eastAsia="zh-CN"/>
        </w:rPr>
        <w:t xml:space="preserve"> — 这不仅仅包括向用户提供的电子邮件服务。用户可以使用彭博专业服务安全可靠的内部连接，实时发送和接收互联网电子邮件，掌握并传递与全球市场息息相关的资讯。 </w:t>
      </w:r>
    </w:p>
    <w:p w14:paraId="5B0BCDC8">
      <w:pPr>
        <w:ind w:firstLine="562" w:firstLineChars="200"/>
        <w:rPr>
          <w:rFonts w:hint="default"/>
          <w:sz w:val="28"/>
          <w:szCs w:val="28"/>
        </w:rPr>
      </w:pPr>
      <w:r>
        <w:rPr>
          <w:rFonts w:hint="eastAsia"/>
          <w:b/>
          <w:bCs/>
          <w:sz w:val="28"/>
          <w:szCs w:val="28"/>
          <w:lang w:val="en-US" w:eastAsia="zh-CN"/>
        </w:rPr>
        <w:t>实时交流</w:t>
      </w:r>
      <w:r>
        <w:rPr>
          <w:rFonts w:hint="eastAsia"/>
          <w:sz w:val="28"/>
          <w:szCs w:val="28"/>
          <w:lang w:val="en-US" w:eastAsia="zh-CN"/>
        </w:rPr>
        <w:t xml:space="preserve"> — 彭博即时通信功能是为彭博用户提供的多窗口“聊天”交流工具。您不但可以与客户及同事进行双向聊天，它还集成了彭博的数据，为您提供了一种更快、更有效率的方法来共享市场报价与交易资料。 </w:t>
      </w:r>
    </w:p>
    <w:p w14:paraId="2AC3D56B">
      <w:pPr>
        <w:ind w:firstLine="562" w:firstLineChars="200"/>
        <w:rPr>
          <w:rFonts w:hint="default"/>
          <w:sz w:val="28"/>
          <w:szCs w:val="28"/>
        </w:rPr>
      </w:pPr>
      <w:r>
        <w:rPr>
          <w:rFonts w:hint="eastAsia"/>
          <w:b/>
          <w:bCs/>
          <w:sz w:val="28"/>
          <w:szCs w:val="28"/>
          <w:lang w:val="en-US" w:eastAsia="zh-CN"/>
        </w:rPr>
        <w:t>彭博社区</w:t>
      </w:r>
      <w:r>
        <w:rPr>
          <w:rFonts w:hint="eastAsia"/>
          <w:sz w:val="28"/>
          <w:szCs w:val="28"/>
          <w:lang w:val="en-US" w:eastAsia="zh-CN"/>
        </w:rPr>
        <w:t xml:space="preserve"> — 彭博专业服务是全球最大的金融人才库，系统中包含了 283 万人物的基本信息、职业信息等，为从业人员职业发展提供信息支持。 </w:t>
      </w:r>
    </w:p>
    <w:p w14:paraId="5C1E9D5A">
      <w:pPr>
        <w:ind w:firstLine="562" w:firstLineChars="200"/>
        <w:rPr>
          <w:rFonts w:hint="default"/>
          <w:sz w:val="28"/>
          <w:szCs w:val="28"/>
        </w:rPr>
      </w:pPr>
      <w:r>
        <w:rPr>
          <w:rFonts w:hint="eastAsia"/>
          <w:b/>
          <w:bCs/>
          <w:sz w:val="28"/>
          <w:szCs w:val="28"/>
          <w:lang w:val="en-US" w:eastAsia="zh-CN"/>
        </w:rPr>
        <w:t>流动性</w:t>
      </w:r>
      <w:r>
        <w:rPr>
          <w:rFonts w:hint="eastAsia"/>
          <w:sz w:val="28"/>
          <w:szCs w:val="28"/>
          <w:lang w:val="en-US" w:eastAsia="zh-CN"/>
        </w:rPr>
        <w:t xml:space="preserve"> — 为帮助用户在市场中顺利地完成交易，彭博不断收集资金流向的信息，并向用户提供可以更加有效利用这些资金流的交易工具。彭博系统汇集了数千个报价来源、报价页面，以及可实时完成交易的电子交易市场。 </w:t>
      </w:r>
    </w:p>
    <w:p w14:paraId="1F76453A">
      <w:pPr>
        <w:ind w:firstLine="562" w:firstLineChars="200"/>
        <w:rPr>
          <w:rFonts w:hint="default"/>
          <w:sz w:val="28"/>
          <w:szCs w:val="28"/>
        </w:rPr>
      </w:pPr>
      <w:r>
        <w:rPr>
          <w:rFonts w:hint="eastAsia"/>
          <w:b/>
          <w:bCs/>
          <w:sz w:val="28"/>
          <w:szCs w:val="28"/>
          <w:lang w:val="en-US" w:eastAsia="zh-CN"/>
        </w:rPr>
        <w:t xml:space="preserve">直通交易处理 </w:t>
      </w:r>
      <w:r>
        <w:rPr>
          <w:rFonts w:hint="eastAsia"/>
          <w:sz w:val="28"/>
          <w:szCs w:val="28"/>
          <w:lang w:val="en-US" w:eastAsia="zh-CN"/>
        </w:rPr>
        <w:t xml:space="preserve">— 彭博强大的交易平台将前中后台业务相关联，更好地管理风险。 </w:t>
      </w:r>
    </w:p>
    <w:p w14:paraId="391F7EE4">
      <w:pPr>
        <w:ind w:firstLine="562" w:firstLineChars="200"/>
        <w:rPr>
          <w:rFonts w:hint="default"/>
          <w:sz w:val="28"/>
          <w:szCs w:val="28"/>
        </w:rPr>
      </w:pPr>
      <w:r>
        <w:rPr>
          <w:rFonts w:hint="eastAsia"/>
          <w:b/>
          <w:bCs/>
          <w:sz w:val="28"/>
          <w:szCs w:val="28"/>
          <w:lang w:val="en-US" w:eastAsia="zh-CN"/>
        </w:rPr>
        <w:t>系统技术</w:t>
      </w:r>
      <w:r>
        <w:rPr>
          <w:rFonts w:hint="eastAsia"/>
          <w:sz w:val="28"/>
          <w:szCs w:val="28"/>
          <w:lang w:val="en-US" w:eastAsia="zh-CN"/>
        </w:rPr>
        <w:t xml:space="preserve"> — 彭博专业服务是全球最大的封闭式通信网络之一，可安全可靠地传递信息。彭博利用强大的服务器，迅速高效的执行用户对海量数据的检索以及处理计算。彭博公司自主知识产权的先进信息系统可以快速排查问题节点，在影响服务质量之前解决问题，并可将电脑病毒拒于系统之外。彭博每月更新系统软件而无需登门维修。 </w:t>
      </w:r>
    </w:p>
    <w:p w14:paraId="5410FA06">
      <w:pPr>
        <w:ind w:firstLine="562" w:firstLineChars="200"/>
        <w:rPr>
          <w:rFonts w:hint="eastAsia"/>
          <w:sz w:val="28"/>
          <w:szCs w:val="28"/>
          <w:lang w:val="en-US" w:eastAsia="zh-CN"/>
        </w:rPr>
      </w:pPr>
      <w:r>
        <w:rPr>
          <w:rFonts w:hint="eastAsia"/>
          <w:b/>
          <w:bCs/>
          <w:sz w:val="28"/>
          <w:szCs w:val="28"/>
          <w:lang w:val="en-US" w:eastAsia="zh-CN"/>
        </w:rPr>
        <w:t xml:space="preserve">全面整合 </w:t>
      </w:r>
      <w:r>
        <w:rPr>
          <w:rFonts w:hint="eastAsia"/>
          <w:sz w:val="28"/>
          <w:szCs w:val="28"/>
          <w:lang w:val="en-US" w:eastAsia="zh-CN"/>
        </w:rPr>
        <w:t>— 一个完全整合的平台，一份租赁月费。</w:t>
      </w:r>
    </w:p>
    <w:p w14:paraId="097B10AE">
      <w:pPr>
        <w:pStyle w:val="3"/>
      </w:pPr>
      <w:r>
        <w:rPr>
          <w:rFonts w:hint="eastAsia"/>
        </w:rPr>
        <w:t>2</w:t>
      </w:r>
      <w:r>
        <w:t xml:space="preserve">. </w:t>
      </w:r>
      <w:r>
        <w:rPr>
          <w:rFonts w:hint="eastAsia"/>
        </w:rPr>
        <w:t>使用说明</w:t>
      </w:r>
    </w:p>
    <w:p w14:paraId="5FFB9E64">
      <w:pPr>
        <w:ind w:firstLine="560" w:firstLineChars="200"/>
        <w:rPr>
          <w:rFonts w:hint="default"/>
          <w:sz w:val="28"/>
          <w:szCs w:val="28"/>
          <w:lang w:val="en-US" w:eastAsia="zh-CN"/>
        </w:rPr>
      </w:pPr>
      <w:r>
        <w:rPr>
          <w:rFonts w:hint="eastAsia"/>
          <w:sz w:val="28"/>
          <w:szCs w:val="28"/>
          <w:lang w:val="en-US" w:eastAsia="zh-CN"/>
        </w:rPr>
        <w:t>联系实验室老师（23498985），在实验室固定电脑使用。</w:t>
      </w:r>
    </w:p>
    <w:p w14:paraId="7123A258">
      <w:pPr>
        <w:keepNext w:val="0"/>
        <w:keepLines w:val="0"/>
        <w:widowControl/>
        <w:suppressLineNumbers w:val="0"/>
        <w:jc w:val="left"/>
      </w:pPr>
    </w:p>
    <w:p w14:paraId="1157A1ED">
      <w:pPr>
        <w:pStyle w:val="2"/>
        <w:rPr>
          <w:lang w:eastAsia="zh-CN"/>
        </w:rPr>
      </w:pPr>
      <w:r>
        <w:rPr>
          <w:rFonts w:hint="eastAsia"/>
          <w:lang w:val="en-US" w:eastAsia="zh-CN"/>
        </w:rPr>
        <w:t>十六．</w:t>
      </w:r>
      <w:r>
        <w:rPr>
          <w:rFonts w:hint="eastAsia"/>
        </w:rPr>
        <w:t>EMIS全球新兴市场国家数据库（全球版）</w:t>
      </w:r>
    </w:p>
    <w:p w14:paraId="1413F78A">
      <w:pPr>
        <w:pStyle w:val="3"/>
      </w:pPr>
      <w:bookmarkStart w:id="20" w:name="_Toc520292940"/>
      <w:r>
        <w:rPr>
          <w:rFonts w:hint="eastAsia"/>
        </w:rPr>
        <w:t>1</w:t>
      </w:r>
      <w:r>
        <w:t xml:space="preserve"> 数据库介绍</w:t>
      </w:r>
      <w:bookmarkEnd w:id="20"/>
    </w:p>
    <w:p w14:paraId="74A68C18">
      <w:pPr>
        <w:spacing w:line="360" w:lineRule="auto"/>
        <w:ind w:firstLine="480"/>
        <w:rPr>
          <w:sz w:val="24"/>
        </w:rPr>
      </w:pPr>
      <w:r>
        <w:rPr>
          <w:rFonts w:hint="eastAsia"/>
          <w:sz w:val="24"/>
        </w:rPr>
        <w:t>该数据库是欧洲货币集团旗下的产品。EMIS是全球唯一可以提供150多个新兴市场国家和地区的市场动态和商务信息的数据库，连续多年获得《福布斯》“全球新兴市场最佳商业网站”称号，是全球最权威的新兴市场商业资讯数据库。</w:t>
      </w:r>
    </w:p>
    <w:p w14:paraId="58C9C783">
      <w:pPr>
        <w:spacing w:line="360" w:lineRule="auto"/>
        <w:ind w:firstLine="480"/>
        <w:rPr>
          <w:sz w:val="24"/>
        </w:rPr>
      </w:pPr>
      <w:r>
        <w:rPr>
          <w:rFonts w:hint="eastAsia"/>
          <w:sz w:val="24"/>
        </w:rPr>
        <w:t>该库提供新兴市场国家的商业资讯，包括：新闻资讯、公司、行业、宏观经济，第三方数据，国家地区分析等六类内容，以英语和当地语言同时呈现。</w:t>
      </w:r>
    </w:p>
    <w:p w14:paraId="486FE896">
      <w:pPr>
        <w:pStyle w:val="3"/>
      </w:pPr>
      <w:bookmarkStart w:id="21" w:name="_Toc520292941"/>
      <w:r>
        <w:rPr>
          <w:rFonts w:hint="eastAsia"/>
        </w:rPr>
        <w:t>2</w:t>
      </w:r>
      <w:r>
        <w:t xml:space="preserve"> 使用说明</w:t>
      </w:r>
      <w:bookmarkEnd w:id="21"/>
    </w:p>
    <w:p w14:paraId="18D998EC">
      <w:pPr>
        <w:spacing w:line="360" w:lineRule="auto"/>
        <w:ind w:firstLine="480"/>
        <w:rPr>
          <w:sz w:val="24"/>
        </w:rPr>
      </w:pPr>
      <w:r>
        <w:rPr>
          <w:sz w:val="24"/>
        </w:rPr>
        <w:t>登陆</w:t>
      </w:r>
      <w:r>
        <w:fldChar w:fldCharType="begin"/>
      </w:r>
      <w:r>
        <w:instrText xml:space="preserve"> HYPERLINK "https://www.emis.com/php/emiscom/registered" </w:instrText>
      </w:r>
      <w:r>
        <w:fldChar w:fldCharType="separate"/>
      </w:r>
      <w:r>
        <w:rPr>
          <w:rStyle w:val="13"/>
          <w:rFonts w:hint="eastAsia"/>
          <w:sz w:val="24"/>
        </w:rPr>
        <w:t>EMIS全球新兴市场国家数据库（全球版）网站</w:t>
      </w:r>
      <w:r>
        <w:rPr>
          <w:rStyle w:val="13"/>
          <w:rFonts w:hint="eastAsia"/>
          <w:sz w:val="24"/>
        </w:rPr>
        <w:fldChar w:fldCharType="end"/>
      </w:r>
      <w:r>
        <w:rPr>
          <w:rFonts w:hint="eastAsia"/>
          <w:sz w:val="24"/>
        </w:rPr>
        <w:t>，</w:t>
      </w:r>
      <w:r>
        <w:rPr>
          <w:sz w:val="24"/>
        </w:rPr>
        <w:t>即可访问使用</w:t>
      </w:r>
      <w:r>
        <w:rPr>
          <w:rFonts w:hint="eastAsia"/>
          <w:sz w:val="24"/>
        </w:rPr>
        <w:t>。</w:t>
      </w:r>
    </w:p>
    <w:p w14:paraId="40348F22">
      <w:pPr>
        <w:spacing w:line="360" w:lineRule="auto"/>
        <w:ind w:firstLine="480"/>
        <w:rPr>
          <w:rFonts w:hint="eastAsia" w:eastAsia="宋体"/>
          <w:sz w:val="24"/>
          <w:lang w:eastAsia="zh-CN"/>
        </w:rPr>
      </w:pPr>
      <w:r>
        <w:rPr>
          <w:sz w:val="24"/>
        </w:rPr>
        <w:t>网站</w:t>
      </w:r>
      <w:r>
        <w:rPr>
          <w:rFonts w:hint="eastAsia"/>
          <w:sz w:val="24"/>
        </w:rPr>
        <w:t>：</w:t>
      </w:r>
      <w:r>
        <w:fldChar w:fldCharType="begin"/>
      </w:r>
      <w:r>
        <w:instrText xml:space="preserve"> HYPERLINK "https://www.emis.com/php/emiscom/registered" </w:instrText>
      </w:r>
      <w:r>
        <w:fldChar w:fldCharType="separate"/>
      </w:r>
      <w:r>
        <w:rPr>
          <w:rStyle w:val="13"/>
          <w:sz w:val="24"/>
        </w:rPr>
        <w:t>https://www.emis.com/php/emiscom/registered</w:t>
      </w:r>
      <w:r>
        <w:rPr>
          <w:rStyle w:val="13"/>
          <w:sz w:val="24"/>
        </w:rPr>
        <w:fldChar w:fldCharType="end"/>
      </w:r>
      <w:r>
        <w:rPr>
          <w:rStyle w:val="13"/>
          <w:rFonts w:hint="eastAsia"/>
          <w:sz w:val="24"/>
          <w:lang w:eastAsia="zh-CN"/>
        </w:rPr>
        <w:t>，https://cas.emis.cn/login#</w:t>
      </w:r>
    </w:p>
    <w:p w14:paraId="09902BF4">
      <w:pPr>
        <w:spacing w:line="360" w:lineRule="auto"/>
        <w:ind w:firstLine="480"/>
        <w:rPr>
          <w:rFonts w:hint="eastAsia"/>
          <w:sz w:val="24"/>
        </w:rPr>
      </w:pPr>
      <w:r>
        <w:rPr>
          <w:sz w:val="24"/>
        </w:rPr>
        <w:t>注</w:t>
      </w:r>
      <w:r>
        <w:rPr>
          <w:rFonts w:hint="eastAsia"/>
          <w:sz w:val="24"/>
        </w:rPr>
        <w:t>：限校园网范围内访问。</w:t>
      </w:r>
      <w:bookmarkStart w:id="22" w:name="_Toc520292942"/>
    </w:p>
    <w:p w14:paraId="709934CD">
      <w:pPr>
        <w:spacing w:line="360" w:lineRule="auto"/>
        <w:rPr>
          <w:rFonts w:hint="eastAsia"/>
          <w:sz w:val="24"/>
        </w:rPr>
      </w:pPr>
    </w:p>
    <w:p w14:paraId="270425A8">
      <w:pPr>
        <w:numPr>
          <w:ilvl w:val="0"/>
          <w:numId w:val="7"/>
        </w:numPr>
        <w:spacing w:line="360" w:lineRule="auto"/>
        <w:rPr>
          <w:rFonts w:hint="eastAsia" w:ascii="Times New Roman" w:hAnsi="Times New Roman" w:eastAsia="黑体" w:cs="Times New Roman"/>
          <w:b/>
          <w:bCs/>
          <w:kern w:val="2"/>
          <w:sz w:val="28"/>
          <w:szCs w:val="32"/>
          <w:lang w:val="en-US" w:eastAsia="zh-CN" w:bidi="ar-SA"/>
        </w:rPr>
      </w:pPr>
      <w:r>
        <w:rPr>
          <w:rFonts w:hint="eastAsia" w:ascii="Times New Roman" w:hAnsi="Times New Roman" w:eastAsia="黑体" w:cs="Times New Roman"/>
          <w:b/>
          <w:bCs/>
          <w:kern w:val="2"/>
          <w:sz w:val="28"/>
          <w:szCs w:val="32"/>
          <w:lang w:val="en-US" w:eastAsia="zh-CN" w:bidi="ar-SA"/>
        </w:rPr>
        <w:t>Wind金融终端</w:t>
      </w:r>
    </w:p>
    <w:p w14:paraId="537C04D7">
      <w:pPr>
        <w:pStyle w:val="3"/>
        <w:rPr>
          <w:rFonts w:hint="eastAsia" w:ascii="Times New Roman" w:hAnsi="Times New Roman" w:eastAsia="黑体" w:cs="Times New Roman"/>
          <w:b/>
          <w:bCs/>
          <w:kern w:val="2"/>
          <w:sz w:val="28"/>
          <w:szCs w:val="32"/>
          <w:lang w:val="en-US" w:eastAsia="zh-CN" w:bidi="ar-SA"/>
        </w:rPr>
      </w:pPr>
      <w:r>
        <w:rPr>
          <w:rFonts w:hint="eastAsia"/>
        </w:rPr>
        <w:t>1</w:t>
      </w:r>
      <w:r>
        <w:t xml:space="preserve"> 数据库介绍</w:t>
      </w:r>
    </w:p>
    <w:p w14:paraId="613610D8">
      <w:pPr>
        <w:spacing w:line="360" w:lineRule="auto"/>
        <w:ind w:firstLine="480" w:firstLineChars="200"/>
        <w:rPr>
          <w:rFonts w:hint="eastAsia"/>
          <w:sz w:val="24"/>
          <w:lang w:val="en-US" w:eastAsia="zh-CN"/>
        </w:rPr>
      </w:pPr>
      <w:r>
        <w:rPr>
          <w:rFonts w:hint="eastAsia"/>
          <w:sz w:val="24"/>
          <w:lang w:val="en-US" w:eastAsia="zh-CN"/>
        </w:rPr>
        <w:t>Wind金融终端提供覆盖全球金融市场的数据与信息，更新及时，包括股票、债券、期权、外汇、基金、指数、资讯、宏观行业（含经济数据库EDB）、资管模块、量化模块、人工智能模块等，具有自定义查询、统计分析以及数据导出功能，同时支持Excel、R、Matlab、VBA、C++、C#、Python等软件的数据提取功能，是我院师生教学、科研常用的数据库。</w:t>
      </w:r>
    </w:p>
    <w:p w14:paraId="14A62C5B">
      <w:pPr>
        <w:spacing w:line="360" w:lineRule="auto"/>
        <w:ind w:firstLine="480" w:firstLineChars="200"/>
        <w:rPr>
          <w:rFonts w:hint="eastAsia"/>
          <w:sz w:val="24"/>
          <w:lang w:val="en-US" w:eastAsia="zh-CN"/>
        </w:rPr>
      </w:pPr>
    </w:p>
    <w:p w14:paraId="473DAC9D">
      <w:pPr>
        <w:pStyle w:val="3"/>
      </w:pPr>
      <w:r>
        <w:rPr>
          <w:rFonts w:hint="eastAsia"/>
        </w:rPr>
        <w:t>2</w:t>
      </w:r>
      <w:r>
        <w:t xml:space="preserve"> 使用说明</w:t>
      </w:r>
    </w:p>
    <w:p w14:paraId="2B089BD6">
      <w:pPr>
        <w:spacing w:line="360" w:lineRule="auto"/>
        <w:ind w:firstLine="480" w:firstLineChars="200"/>
        <w:rPr>
          <w:rFonts w:hint="eastAsia"/>
          <w:sz w:val="24"/>
          <w:lang w:val="en-US" w:eastAsia="zh-CN"/>
        </w:rPr>
      </w:pPr>
      <w:r>
        <w:rPr>
          <w:rFonts w:hint="eastAsia"/>
          <w:sz w:val="24"/>
          <w:lang w:val="en-US" w:eastAsia="zh-CN"/>
        </w:rPr>
        <w:t>根据万得信息技术股份有限公司的要求，Wind数据库账号需与电脑进行绑定。为最大限度地提高账号使用效率，我院安排在没有教学任务的实验室中均可使用Wind金融终端，将部分账号部署在虚拟机，部分安装在高层311实验室的电脑上。欢迎有需要的师生通过电话预约使用。联系电话：23509074，联系教师：华钧、张悦陶</w:t>
      </w:r>
    </w:p>
    <w:p w14:paraId="1EAF65EF">
      <w:pPr>
        <w:spacing w:line="360" w:lineRule="auto"/>
        <w:ind w:firstLine="480" w:firstLineChars="200"/>
        <w:rPr>
          <w:rFonts w:hint="eastAsia"/>
          <w:sz w:val="24"/>
          <w:lang w:val="en-US" w:eastAsia="zh-CN"/>
        </w:rPr>
      </w:pPr>
    </w:p>
    <w:p w14:paraId="2B2B5AA7">
      <w:pPr>
        <w:numPr>
          <w:ilvl w:val="0"/>
          <w:numId w:val="7"/>
        </w:numPr>
        <w:spacing w:line="360" w:lineRule="auto"/>
        <w:rPr>
          <w:rFonts w:hint="default" w:ascii="Times New Roman" w:hAnsi="Times New Roman" w:eastAsia="黑体" w:cs="Times New Roman"/>
          <w:b/>
          <w:bCs/>
          <w:kern w:val="2"/>
          <w:sz w:val="28"/>
          <w:szCs w:val="32"/>
          <w:lang w:val="en-US" w:eastAsia="zh-CN" w:bidi="ar-SA"/>
        </w:rPr>
      </w:pPr>
      <w:r>
        <w:rPr>
          <w:rFonts w:hint="default" w:ascii="Times New Roman" w:hAnsi="Times New Roman" w:eastAsia="黑体" w:cs="Times New Roman"/>
          <w:b/>
          <w:bCs/>
          <w:kern w:val="2"/>
          <w:sz w:val="28"/>
          <w:szCs w:val="32"/>
          <w:lang w:val="en-US" w:eastAsia="zh-CN" w:bidi="ar-SA"/>
        </w:rPr>
        <w:t>东方财富</w:t>
      </w:r>
      <w:r>
        <w:rPr>
          <w:rFonts w:hint="eastAsia" w:ascii="宋体" w:hAnsi="宋体" w:eastAsia="宋体" w:cs="宋体"/>
          <w:b/>
          <w:bCs/>
          <w:sz w:val="28"/>
          <w:szCs w:val="28"/>
          <w:lang w:val="en-US" w:eastAsia="zh-CN"/>
        </w:rPr>
        <w:t>Choice</w:t>
      </w:r>
      <w:r>
        <w:rPr>
          <w:rFonts w:hint="default" w:ascii="Times New Roman" w:hAnsi="Times New Roman" w:eastAsia="黑体" w:cs="Times New Roman"/>
          <w:b/>
          <w:bCs/>
          <w:kern w:val="2"/>
          <w:sz w:val="28"/>
          <w:szCs w:val="32"/>
          <w:lang w:val="en-US" w:eastAsia="zh-CN" w:bidi="ar-SA"/>
        </w:rPr>
        <w:t>金融终端</w:t>
      </w:r>
    </w:p>
    <w:p w14:paraId="3862DA05">
      <w:pPr>
        <w:pStyle w:val="3"/>
      </w:pPr>
      <w:r>
        <w:rPr>
          <w:rFonts w:hint="eastAsia"/>
          <w:lang w:val="en-US" w:eastAsia="zh-CN"/>
        </w:rPr>
        <w:t xml:space="preserve">1 </w:t>
      </w:r>
      <w:r>
        <w:t>数据库介绍</w:t>
      </w:r>
    </w:p>
    <w:p w14:paraId="0CE74E50">
      <w:pPr>
        <w:numPr>
          <w:ilvl w:val="1"/>
          <w:numId w:val="8"/>
        </w:numPr>
        <w:spacing w:line="360" w:lineRule="auto"/>
        <w:ind w:firstLine="482" w:firstLineChars="200"/>
        <w:rPr>
          <w:rFonts w:hint="eastAsia" w:ascii="Times New Roman" w:hAnsi="Times New Roman" w:cs="Times New Roman"/>
          <w:b/>
          <w:bCs/>
          <w:sz w:val="24"/>
          <w:lang w:val="en-US" w:eastAsia="zh-CN"/>
        </w:rPr>
      </w:pPr>
      <w:bookmarkStart w:id="23" w:name="_Hlk185421217"/>
      <w:r>
        <w:rPr>
          <w:rFonts w:hint="eastAsia" w:ascii="Times New Roman" w:hAnsi="Times New Roman" w:cs="Times New Roman"/>
          <w:b/>
          <w:bCs/>
          <w:sz w:val="24"/>
          <w:lang w:val="en-US" w:eastAsia="zh-CN"/>
        </w:rPr>
        <w:t>Choice金融终端</w:t>
      </w:r>
    </w:p>
    <w:p w14:paraId="6D617081">
      <w:pPr>
        <w:numPr>
          <w:ilvl w:val="0"/>
          <w:numId w:val="0"/>
        </w:numPr>
        <w:spacing w:line="360" w:lineRule="auto"/>
        <w:ind w:left="0" w:leftChars="0" w:firstLine="480" w:firstLineChars="200"/>
        <w:rPr>
          <w:rFonts w:hint="default" w:ascii="Times New Roman" w:hAnsi="Times New Roman" w:cs="Times New Roman"/>
          <w:sz w:val="24"/>
          <w:lang w:val="en-US" w:eastAsia="zh-CN"/>
        </w:rPr>
      </w:pPr>
      <w:r>
        <w:rPr>
          <w:rFonts w:hint="eastAsia" w:ascii="Times New Roman" w:hAnsi="Times New Roman" w:cs="Times New Roman"/>
          <w:b w:val="0"/>
          <w:bCs w:val="0"/>
          <w:sz w:val="24"/>
          <w:lang w:val="en-US" w:eastAsia="zh-CN"/>
        </w:rPr>
        <w:t>Choice金融终端</w:t>
      </w:r>
      <w:r>
        <w:rPr>
          <w:rFonts w:hint="eastAsia" w:ascii="Times New Roman" w:hAnsi="Times New Roman" w:cs="Times New Roman"/>
          <w:sz w:val="24"/>
          <w:lang w:val="en-US" w:eastAsia="zh-CN"/>
        </w:rPr>
        <w:t>是一款面向各类金融投资机构、研究机构和学术机构等不同类型机构用户的互联网大数据金融超级终端。数据涵盖股票、基金、债券、指数、商品、外汇及宏观行业等多项品种数据，7×24小时实时推送各类公告、各类资讯数据和研究报告。</w:t>
      </w:r>
    </w:p>
    <w:bookmarkEnd w:id="23"/>
    <w:tbl>
      <w:tblPr>
        <w:tblStyle w:val="9"/>
        <w:tblW w:w="8046" w:type="dxa"/>
        <w:tblInd w:w="287" w:type="dxa"/>
        <w:tblLayout w:type="autofit"/>
        <w:tblCellMar>
          <w:top w:w="0" w:type="dxa"/>
          <w:left w:w="0" w:type="dxa"/>
          <w:bottom w:w="0" w:type="dxa"/>
          <w:right w:w="0" w:type="dxa"/>
        </w:tblCellMar>
      </w:tblPr>
      <w:tblGrid>
        <w:gridCol w:w="817"/>
        <w:gridCol w:w="929"/>
        <w:gridCol w:w="6300"/>
      </w:tblGrid>
      <w:tr w14:paraId="0D44798A">
        <w:tblPrEx>
          <w:tblCellMar>
            <w:top w:w="0" w:type="dxa"/>
            <w:left w:w="0" w:type="dxa"/>
            <w:bottom w:w="0" w:type="dxa"/>
            <w:right w:w="0" w:type="dxa"/>
          </w:tblCellMar>
        </w:tblPrEx>
        <w:trPr>
          <w:trHeight w:val="582" w:hRule="atLeast"/>
        </w:trPr>
        <w:tc>
          <w:tcPr>
            <w:tcW w:w="8046" w:type="dxa"/>
            <w:gridSpan w:val="3"/>
            <w:tcBorders>
              <w:top w:val="single" w:color="757070" w:sz="8" w:space="0"/>
              <w:left w:val="single" w:color="757070" w:sz="8" w:space="0"/>
              <w:bottom w:val="single" w:color="757070" w:sz="8" w:space="0"/>
              <w:right w:val="single" w:color="757070" w:sz="8" w:space="0"/>
            </w:tcBorders>
            <w:shd w:val="clear" w:color="auto" w:fill="DCE6F2" w:themeFill="accent1" w:themeFillTint="32"/>
            <w:tcMar>
              <w:top w:w="15" w:type="dxa"/>
              <w:left w:w="108" w:type="dxa"/>
              <w:bottom w:w="0" w:type="dxa"/>
              <w:right w:w="108" w:type="dxa"/>
            </w:tcMar>
            <w:vAlign w:val="center"/>
          </w:tcPr>
          <w:p w14:paraId="2235FE44">
            <w:pPr>
              <w:spacing w:before="100" w:after="100" w:line="264" w:lineRule="auto"/>
              <w:jc w:val="center"/>
              <w:rPr>
                <w:rFonts w:ascii="微软雅黑" w:hAnsi="微软雅黑" w:eastAsia="微软雅黑" w:cs="微软雅黑"/>
                <w:color w:val="auto"/>
                <w:sz w:val="36"/>
                <w:szCs w:val="36"/>
              </w:rPr>
            </w:pPr>
            <w:bookmarkStart w:id="24" w:name="_Hlk162459326"/>
            <w:bookmarkStart w:id="25" w:name="_Hlk162459244"/>
            <w:r>
              <w:rPr>
                <w:rFonts w:hint="eastAsia" w:ascii="微软雅黑" w:hAnsi="微软雅黑" w:eastAsia="微软雅黑" w:cs="微软雅黑"/>
                <w:b/>
                <w:bCs/>
                <w:kern w:val="0"/>
                <w:sz w:val="24"/>
                <w:szCs w:val="24"/>
              </w:rPr>
              <w:t>Choice金融终端</w:t>
            </w:r>
          </w:p>
        </w:tc>
      </w:tr>
      <w:tr w14:paraId="1646CEB0">
        <w:tblPrEx>
          <w:tblCellMar>
            <w:top w:w="0" w:type="dxa"/>
            <w:left w:w="0" w:type="dxa"/>
            <w:bottom w:w="0" w:type="dxa"/>
            <w:right w:w="0" w:type="dxa"/>
          </w:tblCellMar>
        </w:tblPrEx>
        <w:trPr>
          <w:trHeight w:val="494" w:hRule="atLeast"/>
        </w:trPr>
        <w:tc>
          <w:tcPr>
            <w:tcW w:w="817"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57C7EEA9">
            <w:pPr>
              <w:jc w:val="center"/>
              <w:rPr>
                <w:rFonts w:ascii="微软雅黑" w:hAnsi="微软雅黑" w:eastAsia="微软雅黑" w:cs="微软雅黑"/>
                <w:color w:val="auto"/>
                <w:sz w:val="36"/>
                <w:szCs w:val="36"/>
              </w:rPr>
            </w:pPr>
            <w:r>
              <w:rPr>
                <w:rFonts w:hint="eastAsia" w:ascii="微软雅黑" w:hAnsi="微软雅黑" w:eastAsia="微软雅黑" w:cs="微软雅黑"/>
                <w:b/>
                <w:kern w:val="24"/>
                <w:sz w:val="22"/>
                <w:szCs w:val="22"/>
              </w:rPr>
              <w:t>模块</w:t>
            </w: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2377B677">
            <w:pPr>
              <w:jc w:val="center"/>
              <w:rPr>
                <w:rFonts w:ascii="微软雅黑" w:hAnsi="微软雅黑" w:eastAsia="微软雅黑" w:cs="微软雅黑"/>
                <w:color w:val="auto"/>
                <w:sz w:val="36"/>
                <w:szCs w:val="36"/>
              </w:rPr>
            </w:pPr>
            <w:r>
              <w:rPr>
                <w:rFonts w:hint="eastAsia" w:ascii="微软雅黑" w:hAnsi="微软雅黑" w:eastAsia="微软雅黑" w:cs="微软雅黑"/>
                <w:b/>
                <w:kern w:val="24"/>
                <w:sz w:val="22"/>
                <w:szCs w:val="22"/>
              </w:rPr>
              <w:t>产品维度</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5EAF5220">
            <w:pPr>
              <w:jc w:val="center"/>
              <w:rPr>
                <w:rFonts w:ascii="微软雅黑" w:hAnsi="微软雅黑" w:eastAsia="微软雅黑" w:cs="微软雅黑"/>
                <w:color w:val="auto"/>
                <w:sz w:val="36"/>
                <w:szCs w:val="36"/>
              </w:rPr>
            </w:pPr>
            <w:r>
              <w:rPr>
                <w:rFonts w:hint="eastAsia" w:ascii="微软雅黑" w:hAnsi="微软雅黑" w:eastAsia="微软雅黑" w:cs="微软雅黑"/>
                <w:b/>
                <w:kern w:val="24"/>
                <w:sz w:val="22"/>
                <w:szCs w:val="22"/>
              </w:rPr>
              <w:t>详细说明</w:t>
            </w:r>
          </w:p>
        </w:tc>
      </w:tr>
      <w:tr w14:paraId="5B419ADF">
        <w:tblPrEx>
          <w:tblCellMar>
            <w:top w:w="0" w:type="dxa"/>
            <w:left w:w="0" w:type="dxa"/>
            <w:bottom w:w="0" w:type="dxa"/>
            <w:right w:w="0" w:type="dxa"/>
          </w:tblCellMar>
        </w:tblPrEx>
        <w:trPr>
          <w:trHeight w:val="818" w:hRule="atLeast"/>
        </w:trPr>
        <w:tc>
          <w:tcPr>
            <w:tcW w:w="817" w:type="dxa"/>
            <w:vMerge w:val="restart"/>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1DFD2B5C">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核心模块</w:t>
            </w: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23819163">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股票</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6A83B63E">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全景行情、投资机会、板块监控、多维数据、股票专题、股票数据浏览器、分析工具</w:t>
            </w:r>
          </w:p>
        </w:tc>
      </w:tr>
      <w:tr w14:paraId="3894D6AC">
        <w:tblPrEx>
          <w:tblCellMar>
            <w:top w:w="0" w:type="dxa"/>
            <w:left w:w="0" w:type="dxa"/>
            <w:bottom w:w="0" w:type="dxa"/>
            <w:right w:w="0" w:type="dxa"/>
          </w:tblCellMar>
        </w:tblPrEx>
        <w:trPr>
          <w:trHeight w:val="909"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58DA8492">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1429DEFC">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债券</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6E7988B1">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资讯、数据与专题、分析工具、一级发行、二级报价、发行人、违约处置、非标、结构化、资金、市政、衍生品、全球利率走势、全球曲线</w:t>
            </w:r>
          </w:p>
        </w:tc>
      </w:tr>
      <w:tr w14:paraId="6649C8CF">
        <w:tblPrEx>
          <w:tblCellMar>
            <w:top w:w="0" w:type="dxa"/>
            <w:left w:w="0" w:type="dxa"/>
            <w:bottom w:w="0" w:type="dxa"/>
            <w:right w:w="0" w:type="dxa"/>
          </w:tblCellMar>
        </w:tblPrEx>
        <w:trPr>
          <w:trHeight w:val="550"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28DB60F0">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2EC50017">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基金</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08F8C0DF">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信息速览、业绩排行、多维数据、专题统计、养老数据、REITS数据</w:t>
            </w:r>
          </w:p>
        </w:tc>
      </w:tr>
      <w:tr w14:paraId="78839B29">
        <w:tblPrEx>
          <w:tblCellMar>
            <w:top w:w="0" w:type="dxa"/>
            <w:left w:w="0" w:type="dxa"/>
            <w:bottom w:w="0" w:type="dxa"/>
            <w:right w:w="0" w:type="dxa"/>
          </w:tblCellMar>
        </w:tblPrEx>
        <w:trPr>
          <w:trHeight w:val="544"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1DA1F900">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6C7C52BD">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理财</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5C1E35DA">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理财资讯、银行理财、券商资管、阳光私募、银行理财、信托、保险</w:t>
            </w:r>
          </w:p>
        </w:tc>
      </w:tr>
      <w:tr w14:paraId="1D02F4FE">
        <w:tblPrEx>
          <w:tblCellMar>
            <w:top w:w="0" w:type="dxa"/>
            <w:left w:w="0" w:type="dxa"/>
            <w:bottom w:w="0" w:type="dxa"/>
            <w:right w:w="0" w:type="dxa"/>
          </w:tblCellMar>
        </w:tblPrEx>
        <w:trPr>
          <w:trHeight w:val="818"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15DE3717">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762C3225">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商品</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2AD1E081">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商品资讯、全球商品、商品指数、分析工具、深度资料、期货数据浏览器、行情序列、产业链F9</w:t>
            </w:r>
          </w:p>
        </w:tc>
      </w:tr>
      <w:tr w14:paraId="213BE6E8">
        <w:tblPrEx>
          <w:tblCellMar>
            <w:top w:w="0" w:type="dxa"/>
            <w:left w:w="0" w:type="dxa"/>
            <w:bottom w:w="0" w:type="dxa"/>
            <w:right w:w="0" w:type="dxa"/>
          </w:tblCellMar>
        </w:tblPrEx>
        <w:trPr>
          <w:trHeight w:val="818"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74C4F5FE">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6F8EE197">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外汇</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7DB62172">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交易资讯、人民币行情、国际外汇行情、结售汇行情、离岸人民币、人民币远掉期</w:t>
            </w:r>
          </w:p>
        </w:tc>
      </w:tr>
      <w:tr w14:paraId="49A15629">
        <w:tblPrEx>
          <w:tblCellMar>
            <w:top w:w="0" w:type="dxa"/>
            <w:left w:w="0" w:type="dxa"/>
            <w:bottom w:w="0" w:type="dxa"/>
            <w:right w:w="0" w:type="dxa"/>
          </w:tblCellMar>
        </w:tblPrEx>
        <w:trPr>
          <w:trHeight w:val="471"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12E5FC8D">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083B5BE0">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指数</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5A860F07">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股指期货、分析工具、股票、债券、基金指数、商品指数、全球指数</w:t>
            </w:r>
          </w:p>
        </w:tc>
      </w:tr>
      <w:tr w14:paraId="043CB145">
        <w:tblPrEx>
          <w:tblCellMar>
            <w:top w:w="0" w:type="dxa"/>
            <w:left w:w="0" w:type="dxa"/>
            <w:bottom w:w="0" w:type="dxa"/>
            <w:right w:w="0" w:type="dxa"/>
          </w:tblCellMar>
        </w:tblPrEx>
        <w:trPr>
          <w:trHeight w:val="544"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4959AD69">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7A0300AC">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资讯</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6E9D5C60">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财经资讯、研究报告、公司公告、法律法规、每日资讯</w:t>
            </w:r>
          </w:p>
        </w:tc>
      </w:tr>
      <w:tr w14:paraId="7C385D48">
        <w:tblPrEx>
          <w:tblCellMar>
            <w:top w:w="0" w:type="dxa"/>
            <w:left w:w="0" w:type="dxa"/>
            <w:bottom w:w="0" w:type="dxa"/>
            <w:right w:w="0" w:type="dxa"/>
          </w:tblCellMar>
        </w:tblPrEx>
        <w:trPr>
          <w:trHeight w:val="549"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4040CFFA">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42CD1F2C">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宏观</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4C25063E">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全球经济日历、中国宏观预测、全球休市日历、产业链中心</w:t>
            </w:r>
          </w:p>
        </w:tc>
      </w:tr>
      <w:tr w14:paraId="0D798CA6">
        <w:tblPrEx>
          <w:tblCellMar>
            <w:top w:w="0" w:type="dxa"/>
            <w:left w:w="0" w:type="dxa"/>
            <w:bottom w:w="0" w:type="dxa"/>
            <w:right w:w="0" w:type="dxa"/>
          </w:tblCellMar>
        </w:tblPrEx>
        <w:trPr>
          <w:trHeight w:val="546"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5339F370">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4B076B1C">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企业</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28867F8D">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预警专题、发行人监测、机构调研、上市公司研究、发行人统计</w:t>
            </w:r>
          </w:p>
        </w:tc>
      </w:tr>
      <w:tr w14:paraId="44C5F9C3">
        <w:tblPrEx>
          <w:tblCellMar>
            <w:top w:w="0" w:type="dxa"/>
            <w:left w:w="0" w:type="dxa"/>
            <w:bottom w:w="0" w:type="dxa"/>
            <w:right w:w="0" w:type="dxa"/>
          </w:tblCellMar>
        </w:tblPrEx>
        <w:trPr>
          <w:trHeight w:val="569"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4E67D173">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4841765D">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量化</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1E3E9CD8">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期权综合屏、交易所期权、期权分析工具、期权专题</w:t>
            </w:r>
          </w:p>
        </w:tc>
      </w:tr>
      <w:tr w14:paraId="23DD2C47">
        <w:tblPrEx>
          <w:tblCellMar>
            <w:top w:w="0" w:type="dxa"/>
            <w:left w:w="0" w:type="dxa"/>
            <w:bottom w:w="0" w:type="dxa"/>
            <w:right w:w="0" w:type="dxa"/>
          </w:tblCellMar>
        </w:tblPrEx>
        <w:trPr>
          <w:trHeight w:val="505"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4B532E32">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74803982">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路演平台</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52C530AA">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券商分析师路演、上市公司会议、论坛峰会</w:t>
            </w:r>
          </w:p>
        </w:tc>
      </w:tr>
      <w:tr w14:paraId="6992DB9C">
        <w:tblPrEx>
          <w:tblCellMar>
            <w:top w:w="0" w:type="dxa"/>
            <w:left w:w="0" w:type="dxa"/>
            <w:bottom w:w="0" w:type="dxa"/>
            <w:right w:w="0" w:type="dxa"/>
          </w:tblCellMar>
        </w:tblPrEx>
        <w:trPr>
          <w:trHeight w:val="494" w:hRule="atLeast"/>
        </w:trPr>
        <w:tc>
          <w:tcPr>
            <w:tcW w:w="817" w:type="dxa"/>
            <w:vMerge w:val="continue"/>
            <w:tcBorders>
              <w:top w:val="single" w:color="757070" w:sz="8" w:space="0"/>
              <w:left w:val="single" w:color="757070" w:sz="8" w:space="0"/>
              <w:bottom w:val="single" w:color="757070" w:sz="8" w:space="0"/>
              <w:right w:val="single" w:color="757070" w:sz="8" w:space="0"/>
            </w:tcBorders>
            <w:vAlign w:val="center"/>
          </w:tcPr>
          <w:p w14:paraId="6810DB8D">
            <w:pPr>
              <w:jc w:val="center"/>
              <w:rPr>
                <w:rFonts w:ascii="微软雅黑" w:hAnsi="微软雅黑" w:eastAsia="微软雅黑" w:cs="微软雅黑"/>
                <w:color w:val="auto"/>
                <w:sz w:val="36"/>
                <w:szCs w:val="36"/>
                <w:lang w:eastAsia="zh-CN"/>
              </w:rPr>
            </w:pPr>
          </w:p>
        </w:tc>
        <w:tc>
          <w:tcPr>
            <w:tcW w:w="929"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7F1EB2F7">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工具</w:t>
            </w:r>
          </w:p>
        </w:tc>
        <w:tc>
          <w:tcPr>
            <w:tcW w:w="6300"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04511175">
            <w:pPr>
              <w:rPr>
                <w:rFonts w:ascii="微软雅黑" w:hAnsi="微软雅黑" w:eastAsia="微软雅黑" w:cs="微软雅黑"/>
                <w:color w:val="auto"/>
                <w:sz w:val="36"/>
                <w:szCs w:val="36"/>
              </w:rPr>
            </w:pPr>
            <w:r>
              <w:rPr>
                <w:rFonts w:hint="eastAsia" w:ascii="微软雅黑" w:hAnsi="微软雅黑" w:eastAsia="微软雅黑" w:cs="微软雅黑"/>
                <w:color w:val="000000" w:themeColor="text1"/>
                <w:kern w:val="24"/>
                <w:sz w:val="22"/>
                <w:szCs w:val="22"/>
                <w14:textFill>
                  <w14:solidFill>
                    <w14:schemeClr w14:val="tx1"/>
                  </w14:solidFill>
                </w14:textFill>
              </w:rPr>
              <w:t>组合管理、excel插件、excel模板</w:t>
            </w:r>
          </w:p>
        </w:tc>
      </w:tr>
      <w:tr w14:paraId="35CCC334">
        <w:tblPrEx>
          <w:tblCellMar>
            <w:top w:w="0" w:type="dxa"/>
            <w:left w:w="0" w:type="dxa"/>
            <w:bottom w:w="0" w:type="dxa"/>
            <w:right w:w="0" w:type="dxa"/>
          </w:tblCellMar>
        </w:tblPrEx>
        <w:trPr>
          <w:trHeight w:val="606" w:hRule="atLeast"/>
        </w:trPr>
        <w:tc>
          <w:tcPr>
            <w:tcW w:w="817" w:type="dxa"/>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35669B3D">
            <w:pPr>
              <w:jc w:val="center"/>
              <w:rPr>
                <w:rFonts w:ascii="微软雅黑" w:hAnsi="微软雅黑" w:eastAsia="微软雅黑" w:cs="微软雅黑"/>
                <w:color w:val="auto"/>
                <w:sz w:val="36"/>
                <w:szCs w:val="36"/>
              </w:rPr>
            </w:pPr>
            <w:r>
              <w:rPr>
                <w:rFonts w:hint="eastAsia" w:ascii="微软雅黑" w:hAnsi="微软雅黑" w:eastAsia="微软雅黑" w:cs="微软雅黑"/>
                <w:kern w:val="24"/>
                <w:sz w:val="22"/>
                <w:szCs w:val="22"/>
              </w:rPr>
              <w:t>投研模块</w:t>
            </w:r>
          </w:p>
        </w:tc>
        <w:tc>
          <w:tcPr>
            <w:tcW w:w="7229" w:type="dxa"/>
            <w:gridSpan w:val="2"/>
            <w:tcBorders>
              <w:top w:val="single" w:color="757070" w:sz="8" w:space="0"/>
              <w:left w:val="single" w:color="757070" w:sz="8" w:space="0"/>
              <w:bottom w:val="single" w:color="757070" w:sz="8" w:space="0"/>
              <w:right w:val="single" w:color="757070" w:sz="8" w:space="0"/>
            </w:tcBorders>
            <w:shd w:val="clear" w:color="auto" w:fill="auto"/>
            <w:tcMar>
              <w:top w:w="15" w:type="dxa"/>
              <w:left w:w="108" w:type="dxa"/>
              <w:bottom w:w="0" w:type="dxa"/>
              <w:right w:w="108" w:type="dxa"/>
            </w:tcMar>
            <w:vAlign w:val="center"/>
          </w:tcPr>
          <w:p w14:paraId="1176354C">
            <w:pPr>
              <w:rPr>
                <w:rFonts w:ascii="微软雅黑" w:hAnsi="微软雅黑" w:eastAsia="微软雅黑" w:cs="微软雅黑"/>
                <w:color w:val="auto"/>
                <w:sz w:val="36"/>
                <w:szCs w:val="36"/>
                <w:lang w:eastAsia="zh-CN"/>
              </w:rPr>
            </w:pPr>
            <w:r>
              <w:rPr>
                <w:rFonts w:hint="eastAsia" w:ascii="微软雅黑" w:hAnsi="微软雅黑" w:eastAsia="微软雅黑" w:cs="微软雅黑"/>
                <w:kern w:val="24"/>
                <w:sz w:val="22"/>
                <w:szCs w:val="22"/>
                <w:lang w:eastAsia="zh-CN"/>
              </w:rPr>
              <w:t>产业链研究平台、研报核心逻辑</w:t>
            </w:r>
          </w:p>
        </w:tc>
      </w:tr>
      <w:bookmarkEnd w:id="24"/>
      <w:bookmarkEnd w:id="25"/>
    </w:tbl>
    <w:p w14:paraId="6F56BA25">
      <w:pPr>
        <w:numPr>
          <w:ilvl w:val="0"/>
          <w:numId w:val="0"/>
        </w:numPr>
        <w:spacing w:line="360" w:lineRule="auto"/>
        <w:jc w:val="both"/>
        <w:outlineLvl w:val="1"/>
        <w:rPr>
          <w:rFonts w:hint="eastAsia" w:eastAsia="黑体" w:cs="Arial"/>
          <w:b/>
          <w:snapToGrid w:val="0"/>
          <w:color w:val="000000"/>
          <w:sz w:val="32"/>
          <w:szCs w:val="21"/>
          <w:lang w:val="en-US" w:eastAsia="zh-CN" w:bidi="ar-SA"/>
        </w:rPr>
      </w:pPr>
    </w:p>
    <w:p w14:paraId="42993191">
      <w:pPr>
        <w:spacing w:line="360" w:lineRule="auto"/>
        <w:ind w:firstLine="482" w:firstLineChars="200"/>
        <w:rPr>
          <w:rFonts w:hint="eastAsia" w:ascii="Times New Roman" w:hAnsi="Times New Roman" w:cs="Times New Roman"/>
          <w:b/>
          <w:bCs/>
          <w:sz w:val="24"/>
          <w:lang w:val="en-US" w:eastAsia="zh-CN"/>
        </w:rPr>
      </w:pPr>
      <w:r>
        <w:rPr>
          <w:rFonts w:hint="eastAsia" w:ascii="Times New Roman" w:hAnsi="Times New Roman" w:cs="Times New Roman"/>
          <w:b/>
          <w:bCs/>
          <w:sz w:val="24"/>
          <w:lang w:val="en-US" w:eastAsia="zh-CN"/>
        </w:rPr>
        <w:t>1.2 宏观行业数据</w:t>
      </w:r>
    </w:p>
    <w:p w14:paraId="1FF66602">
      <w:pPr>
        <w:spacing w:line="360" w:lineRule="auto"/>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宏观行业数据包含经济数据、全球宏观、宏观经济数据专题、大宗商品数据、另类数据中心、行业产品价格、供需综合数据、产销量、库存、产能、行业财务数据、行业数据专题、行业深度资料、产业链专题等内容。</w:t>
      </w:r>
    </w:p>
    <w:tbl>
      <w:tblPr>
        <w:tblStyle w:val="9"/>
        <w:tblpPr w:leftFromText="180" w:rightFromText="180" w:vertAnchor="text" w:horzAnchor="page" w:tblpXSpec="center" w:tblpY="225"/>
        <w:tblOverlap w:val="never"/>
        <w:tblW w:w="8214" w:type="dxa"/>
        <w:jc w:val="center"/>
        <w:tblLayout w:type="autofit"/>
        <w:tblCellMar>
          <w:top w:w="0" w:type="dxa"/>
          <w:left w:w="0" w:type="dxa"/>
          <w:bottom w:w="0" w:type="dxa"/>
          <w:right w:w="0" w:type="dxa"/>
        </w:tblCellMar>
      </w:tblPr>
      <w:tblGrid>
        <w:gridCol w:w="1614"/>
        <w:gridCol w:w="6600"/>
      </w:tblGrid>
      <w:tr w14:paraId="0BE2621B">
        <w:tblPrEx>
          <w:tblCellMar>
            <w:top w:w="0" w:type="dxa"/>
            <w:left w:w="0" w:type="dxa"/>
            <w:bottom w:w="0" w:type="dxa"/>
            <w:right w:w="0" w:type="dxa"/>
          </w:tblCellMar>
        </w:tblPrEx>
        <w:trPr>
          <w:trHeight w:val="720" w:hRule="atLeast"/>
          <w:jc w:val="center"/>
        </w:trPr>
        <w:tc>
          <w:tcPr>
            <w:tcW w:w="8214" w:type="dxa"/>
            <w:gridSpan w:val="2"/>
            <w:tcBorders>
              <w:top w:val="single" w:color="767171" w:sz="8" w:space="0"/>
              <w:left w:val="single" w:color="767171" w:sz="8" w:space="0"/>
              <w:bottom w:val="single" w:color="767171" w:sz="8" w:space="0"/>
              <w:right w:val="single" w:color="767171" w:sz="8" w:space="0"/>
            </w:tcBorders>
            <w:shd w:val="clear" w:color="auto" w:fill="DCE6F2" w:themeFill="accent1" w:themeFillTint="32"/>
            <w:tcMar>
              <w:top w:w="15" w:type="dxa"/>
              <w:left w:w="108" w:type="dxa"/>
              <w:bottom w:w="0" w:type="dxa"/>
              <w:right w:w="108" w:type="dxa"/>
            </w:tcMar>
            <w:vAlign w:val="center"/>
          </w:tcPr>
          <w:p w14:paraId="14E6007B">
            <w:pPr>
              <w:numPr>
                <w:ilvl w:val="0"/>
                <w:numId w:val="0"/>
              </w:numPr>
              <w:spacing w:line="360" w:lineRule="auto"/>
              <w:ind w:firstLine="3080" w:firstLineChars="14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宏观行业数据</w:t>
            </w:r>
          </w:p>
        </w:tc>
      </w:tr>
      <w:tr w14:paraId="1E7783B0">
        <w:tblPrEx>
          <w:tblCellMar>
            <w:top w:w="0" w:type="dxa"/>
            <w:left w:w="0" w:type="dxa"/>
            <w:bottom w:w="0" w:type="dxa"/>
            <w:right w:w="0" w:type="dxa"/>
          </w:tblCellMar>
        </w:tblPrEx>
        <w:trPr>
          <w:trHeight w:val="547"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4E81ABD9">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产品维度</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034C6547">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详细说明</w:t>
            </w:r>
          </w:p>
        </w:tc>
      </w:tr>
      <w:tr w14:paraId="17FE58A0">
        <w:tblPrEx>
          <w:tblCellMar>
            <w:top w:w="0" w:type="dxa"/>
            <w:left w:w="0" w:type="dxa"/>
            <w:bottom w:w="0" w:type="dxa"/>
            <w:right w:w="0" w:type="dxa"/>
          </w:tblCellMar>
        </w:tblPrEx>
        <w:trPr>
          <w:trHeight w:val="542"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80F1A66">
            <w:pPr>
              <w:numPr>
                <w:ilvl w:val="0"/>
                <w:numId w:val="0"/>
              </w:numPr>
              <w:spacing w:line="360" w:lineRule="auto"/>
              <w:ind w:firstLine="220" w:firstLineChars="1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经济数据库</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426C6E43">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中国宏观、全球宏观、行业经济、TheWorldBank、利率走势</w:t>
            </w:r>
          </w:p>
        </w:tc>
      </w:tr>
      <w:tr w14:paraId="1A41A77B">
        <w:tblPrEx>
          <w:tblCellMar>
            <w:top w:w="0" w:type="dxa"/>
            <w:left w:w="0" w:type="dxa"/>
            <w:bottom w:w="0" w:type="dxa"/>
            <w:right w:w="0" w:type="dxa"/>
          </w:tblCellMar>
        </w:tblPrEx>
        <w:trPr>
          <w:trHeight w:val="715"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5AA07BEC">
            <w:pPr>
              <w:numPr>
                <w:ilvl w:val="0"/>
                <w:numId w:val="0"/>
              </w:numPr>
              <w:spacing w:line="360" w:lineRule="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中国宏观专题</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42AF8430">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中国宏观专题、中国货币政策、中国利率市场化、市场流动性监测、人口与社会发展、证券市场概况</w:t>
            </w:r>
          </w:p>
        </w:tc>
      </w:tr>
      <w:tr w14:paraId="59744735">
        <w:tblPrEx>
          <w:tblCellMar>
            <w:top w:w="0" w:type="dxa"/>
            <w:left w:w="0" w:type="dxa"/>
            <w:bottom w:w="0" w:type="dxa"/>
            <w:right w:w="0" w:type="dxa"/>
          </w:tblCellMar>
        </w:tblPrEx>
        <w:trPr>
          <w:trHeight w:val="492"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019A639">
            <w:pPr>
              <w:numPr>
                <w:ilvl w:val="0"/>
                <w:numId w:val="0"/>
              </w:numPr>
              <w:spacing w:line="360" w:lineRule="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全球宏观专题</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2C478EC6">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全球宏观专题、美国宏观专题、日本宏观专题、欧盟宏观专题</w:t>
            </w:r>
          </w:p>
        </w:tc>
      </w:tr>
      <w:tr w14:paraId="282236AF">
        <w:tblPrEx>
          <w:tblCellMar>
            <w:top w:w="0" w:type="dxa"/>
            <w:left w:w="0" w:type="dxa"/>
            <w:bottom w:w="0" w:type="dxa"/>
            <w:right w:w="0" w:type="dxa"/>
          </w:tblCellMar>
        </w:tblPrEx>
        <w:trPr>
          <w:trHeight w:val="477"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00631E6">
            <w:pPr>
              <w:numPr>
                <w:ilvl w:val="0"/>
                <w:numId w:val="0"/>
              </w:numPr>
              <w:spacing w:line="360" w:lineRule="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行业经济专题</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4DC9A262">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行业数据专题、行业经济效益、企业绩效评价、行业中心、行业排行榜</w:t>
            </w:r>
          </w:p>
        </w:tc>
      </w:tr>
      <w:tr w14:paraId="60651CA1">
        <w:tblPrEx>
          <w:tblCellMar>
            <w:top w:w="0" w:type="dxa"/>
            <w:left w:w="0" w:type="dxa"/>
            <w:bottom w:w="0" w:type="dxa"/>
            <w:right w:w="0" w:type="dxa"/>
          </w:tblCellMar>
        </w:tblPrEx>
        <w:trPr>
          <w:trHeight w:val="1083"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57AD059E">
            <w:pPr>
              <w:numPr>
                <w:ilvl w:val="0"/>
                <w:numId w:val="0"/>
              </w:numPr>
              <w:spacing w:line="360" w:lineRule="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行业深度研究</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3CE9097B">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一带一路专题、交通运输专题、交运设备专题、房地产专题、煤炭专题、有色金属专题、农林牧渔专题、新能源专题、电子设备专题、大消费专题、家电专题、食品饮料专题、医药生物专题、餐饮旅游专题、TMT专题</w:t>
            </w:r>
          </w:p>
        </w:tc>
      </w:tr>
      <w:tr w14:paraId="76F4BB0B">
        <w:tblPrEx>
          <w:tblCellMar>
            <w:top w:w="0" w:type="dxa"/>
            <w:left w:w="0" w:type="dxa"/>
            <w:bottom w:w="0" w:type="dxa"/>
            <w:right w:w="0" w:type="dxa"/>
          </w:tblCellMar>
        </w:tblPrEx>
        <w:trPr>
          <w:trHeight w:val="575"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1B90F29">
            <w:pPr>
              <w:numPr>
                <w:ilvl w:val="0"/>
                <w:numId w:val="0"/>
              </w:numPr>
              <w:spacing w:line="360" w:lineRule="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另类数据中心</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3B25DB82">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Choice大数据、航空运输行业研究</w:t>
            </w:r>
          </w:p>
        </w:tc>
      </w:tr>
      <w:tr w14:paraId="69656DE6">
        <w:tblPrEx>
          <w:tblCellMar>
            <w:top w:w="0" w:type="dxa"/>
            <w:left w:w="0" w:type="dxa"/>
            <w:bottom w:w="0" w:type="dxa"/>
            <w:right w:w="0" w:type="dxa"/>
          </w:tblCellMar>
        </w:tblPrEx>
        <w:trPr>
          <w:trHeight w:val="556" w:hRule="atLeast"/>
          <w:jc w:val="center"/>
        </w:trPr>
        <w:tc>
          <w:tcPr>
            <w:tcW w:w="1614"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B6A55BA">
            <w:pPr>
              <w:numPr>
                <w:ilvl w:val="0"/>
                <w:numId w:val="0"/>
              </w:numPr>
              <w:spacing w:line="360" w:lineRule="auto"/>
              <w:ind w:firstLine="220" w:firstLineChars="1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商品数据</w:t>
            </w:r>
          </w:p>
        </w:tc>
        <w:tc>
          <w:tcPr>
            <w:tcW w:w="6600" w:type="dxa"/>
            <w:tcBorders>
              <w:top w:val="single" w:color="767171" w:sz="8" w:space="0"/>
              <w:left w:val="single" w:color="767171" w:sz="8" w:space="0"/>
              <w:bottom w:val="single" w:color="767171" w:sz="8" w:space="0"/>
              <w:right w:val="single" w:color="767171" w:sz="8" w:space="0"/>
            </w:tcBorders>
            <w:shd w:val="clear" w:color="auto" w:fill="auto"/>
            <w:tcMar>
              <w:top w:w="15" w:type="dxa"/>
              <w:left w:w="108" w:type="dxa"/>
              <w:bottom w:w="0" w:type="dxa"/>
              <w:right w:w="108" w:type="dxa"/>
            </w:tcMar>
            <w:vAlign w:val="center"/>
          </w:tcPr>
          <w:p w14:paraId="1867987E">
            <w:pPr>
              <w:numPr>
                <w:ilvl w:val="0"/>
                <w:numId w:val="0"/>
              </w:numPr>
              <w:spacing w:line="360" w:lineRule="auto"/>
              <w:ind w:left="0" w:leftChars="0" w:firstLine="440" w:firstLineChars="200"/>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多维数据、畜产品研究、金属研究、能源化工研究、农产品研究</w:t>
            </w:r>
          </w:p>
        </w:tc>
      </w:tr>
    </w:tbl>
    <w:p w14:paraId="452F328D">
      <w:pPr>
        <w:rPr>
          <w:rFonts w:hint="default"/>
          <w:lang w:val="en-US" w:eastAsia="zh-CN"/>
        </w:rPr>
      </w:pPr>
    </w:p>
    <w:p w14:paraId="7130F09C">
      <w:pPr>
        <w:pStyle w:val="3"/>
      </w:pPr>
      <w:r>
        <w:rPr>
          <w:rFonts w:hint="eastAsia"/>
        </w:rPr>
        <w:t>2</w:t>
      </w:r>
      <w:r>
        <w:t xml:space="preserve"> 使用说明</w:t>
      </w:r>
    </w:p>
    <w:p w14:paraId="78EEB8B6">
      <w:pPr>
        <w:pStyle w:val="3"/>
        <w:ind w:firstLine="480" w:firstLineChars="200"/>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已购置Choice金融终端高校集群版，该终端支持在指定校园IP地址范围内多台电脑同时登录使用，校外师生也可通过VPN接入使用。Choice金融终端是我院师生教学与科研常用的数据库。</w:t>
      </w:r>
    </w:p>
    <w:p w14:paraId="05B8D401">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1、下载地址</w:t>
      </w:r>
    </w:p>
    <w:p w14:paraId="69A6D8D3">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https://choice.eastmoney.com/downloads</w:t>
      </w:r>
    </w:p>
    <w:p w14:paraId="37CA79CF">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2、登录信息</w:t>
      </w:r>
    </w:p>
    <w:p w14:paraId="09080E29">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账号：nkedu0502</w:t>
      </w:r>
    </w:p>
    <w:p w14:paraId="34B8042E">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密码：ar551580</w:t>
      </w:r>
    </w:p>
    <w:p w14:paraId="132A8303">
      <w:pPr>
        <w:keepNext w:val="0"/>
        <w:keepLines w:val="0"/>
        <w:pageBreakBefore w:val="0"/>
        <w:widowControl/>
        <w:kinsoku w:val="0"/>
        <w:wordWrap/>
        <w:overflowPunct/>
        <w:topLinePunct w:val="0"/>
        <w:autoSpaceDE w:val="0"/>
        <w:autoSpaceDN w:val="0"/>
        <w:bidi w:val="0"/>
        <w:adjustRightInd w:val="0"/>
        <w:snapToGrid w:val="0"/>
        <w:spacing w:line="360" w:lineRule="auto"/>
        <w:ind w:firstLine="480"/>
        <w:textAlignment w:val="baseline"/>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3、如在数据库使用过程中遇到问题，可随时联系实验中心老师，华钧 13920575866、张悦陶 15911596591</w:t>
      </w:r>
    </w:p>
    <w:p w14:paraId="1E7B86C9">
      <w:pPr>
        <w:numPr>
          <w:ilvl w:val="0"/>
          <w:numId w:val="0"/>
        </w:numPr>
        <w:spacing w:line="360" w:lineRule="auto"/>
        <w:ind w:leftChars="0"/>
        <w:rPr>
          <w:rFonts w:hint="default"/>
          <w:sz w:val="24"/>
          <w:lang w:val="en-US" w:eastAsia="zh-CN"/>
        </w:rPr>
      </w:pPr>
    </w:p>
    <w:bookmarkEnd w:id="22"/>
    <w:p w14:paraId="73D6FF0A">
      <w:pPr>
        <w:numPr>
          <w:ilvl w:val="0"/>
          <w:numId w:val="0"/>
        </w:numPr>
        <w:spacing w:line="360" w:lineRule="auto"/>
        <w:ind w:leftChars="200"/>
        <w:rPr>
          <w:rFonts w:hint="default" w:ascii="Times New Roman" w:hAnsi="Times New Roman" w:cs="Times New Roman"/>
          <w:sz w:val="24"/>
          <w:lang w:val="en-US" w:eastAsia="zh-CN"/>
        </w:rPr>
      </w:pPr>
      <w:bookmarkStart w:id="26" w:name="_GoBack"/>
      <w:bookmarkEnd w:id="26"/>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03046">
    <w:pPr>
      <w:pStyle w:val="7"/>
      <w:pBdr>
        <w:bottom w:val="none" w:color="auto" w:sz="0" w:space="1"/>
      </w:pBdr>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B4108F"/>
    <w:multiLevelType w:val="singleLevel"/>
    <w:tmpl w:val="86B4108F"/>
    <w:lvl w:ilvl="0" w:tentative="0">
      <w:start w:val="15"/>
      <w:numFmt w:val="chineseCounting"/>
      <w:suff w:val="space"/>
      <w:lvlText w:val="%1."/>
      <w:lvlJc w:val="left"/>
      <w:rPr>
        <w:rFonts w:hint="eastAsia"/>
      </w:rPr>
    </w:lvl>
  </w:abstractNum>
  <w:abstractNum w:abstractNumId="1">
    <w:nsid w:val="8DFEEC54"/>
    <w:multiLevelType w:val="singleLevel"/>
    <w:tmpl w:val="8DFEEC54"/>
    <w:lvl w:ilvl="0" w:tentative="0">
      <w:start w:val="1"/>
      <w:numFmt w:val="decimal"/>
      <w:lvlText w:val="%1."/>
      <w:lvlJc w:val="left"/>
      <w:pPr>
        <w:tabs>
          <w:tab w:val="left" w:pos="312"/>
        </w:tabs>
      </w:pPr>
    </w:lvl>
  </w:abstractNum>
  <w:abstractNum w:abstractNumId="2">
    <w:nsid w:val="98FB5181"/>
    <w:multiLevelType w:val="singleLevel"/>
    <w:tmpl w:val="98FB5181"/>
    <w:lvl w:ilvl="0" w:tentative="0">
      <w:start w:val="17"/>
      <w:numFmt w:val="chineseCounting"/>
      <w:suff w:val="nothing"/>
      <w:lvlText w:val="%1．"/>
      <w:lvlJc w:val="left"/>
      <w:rPr>
        <w:rFonts w:hint="eastAsia"/>
      </w:rPr>
    </w:lvl>
  </w:abstractNum>
  <w:abstractNum w:abstractNumId="3">
    <w:nsid w:val="9980BEAE"/>
    <w:multiLevelType w:val="singleLevel"/>
    <w:tmpl w:val="9980BEAE"/>
    <w:lvl w:ilvl="0" w:tentative="0">
      <w:start w:val="19"/>
      <w:numFmt w:val="decimal"/>
      <w:suff w:val="space"/>
      <w:lvlText w:val="%1."/>
      <w:lvlJc w:val="left"/>
    </w:lvl>
  </w:abstractNum>
  <w:abstractNum w:abstractNumId="4">
    <w:nsid w:val="BD34BD1F"/>
    <w:multiLevelType w:val="singleLevel"/>
    <w:tmpl w:val="BD34BD1F"/>
    <w:lvl w:ilvl="0" w:tentative="0">
      <w:start w:val="20"/>
      <w:numFmt w:val="decimal"/>
      <w:suff w:val="space"/>
      <w:lvlText w:val="%1."/>
      <w:lvlJc w:val="left"/>
    </w:lvl>
  </w:abstractNum>
  <w:abstractNum w:abstractNumId="5">
    <w:nsid w:val="0D5F2644"/>
    <w:multiLevelType w:val="multilevel"/>
    <w:tmpl w:val="0D5F264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FC3B768"/>
    <w:multiLevelType w:val="singleLevel"/>
    <w:tmpl w:val="1FC3B768"/>
    <w:lvl w:ilvl="0" w:tentative="0">
      <w:start w:val="13"/>
      <w:numFmt w:val="decimal"/>
      <w:suff w:val="space"/>
      <w:lvlText w:val="%1."/>
      <w:lvlJc w:val="left"/>
    </w:lvl>
  </w:abstractNum>
  <w:abstractNum w:abstractNumId="7">
    <w:nsid w:val="7134A2BC"/>
    <w:multiLevelType w:val="multilevel"/>
    <w:tmpl w:val="7134A2BC"/>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6"/>
  </w:num>
  <w:num w:numId="2">
    <w:abstractNumId w:val="5"/>
  </w:num>
  <w:num w:numId="3">
    <w:abstractNumId w:val="3"/>
  </w:num>
  <w:num w:numId="4">
    <w:abstractNumId w:val="4"/>
  </w:num>
  <w:num w:numId="5">
    <w:abstractNumId w:val="1"/>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01C"/>
    <w:rsid w:val="000054F4"/>
    <w:rsid w:val="00007533"/>
    <w:rsid w:val="00026782"/>
    <w:rsid w:val="00040F2C"/>
    <w:rsid w:val="00045921"/>
    <w:rsid w:val="000471F0"/>
    <w:rsid w:val="00091907"/>
    <w:rsid w:val="000D5934"/>
    <w:rsid w:val="000E4454"/>
    <w:rsid w:val="00114245"/>
    <w:rsid w:val="00155F10"/>
    <w:rsid w:val="00166354"/>
    <w:rsid w:val="00213679"/>
    <w:rsid w:val="002369BA"/>
    <w:rsid w:val="00236C0C"/>
    <w:rsid w:val="0025080D"/>
    <w:rsid w:val="00252E7A"/>
    <w:rsid w:val="002536E2"/>
    <w:rsid w:val="00260A05"/>
    <w:rsid w:val="00283F72"/>
    <w:rsid w:val="002B7E05"/>
    <w:rsid w:val="002C0752"/>
    <w:rsid w:val="002E2CE3"/>
    <w:rsid w:val="002F7DDA"/>
    <w:rsid w:val="00317B9E"/>
    <w:rsid w:val="0034558B"/>
    <w:rsid w:val="003C0540"/>
    <w:rsid w:val="003F7A1A"/>
    <w:rsid w:val="0040588E"/>
    <w:rsid w:val="0041159E"/>
    <w:rsid w:val="00414933"/>
    <w:rsid w:val="004710A9"/>
    <w:rsid w:val="004F0E9E"/>
    <w:rsid w:val="00503723"/>
    <w:rsid w:val="00545C26"/>
    <w:rsid w:val="0059067E"/>
    <w:rsid w:val="005A5D33"/>
    <w:rsid w:val="005D3EED"/>
    <w:rsid w:val="005E11A8"/>
    <w:rsid w:val="0063321E"/>
    <w:rsid w:val="00650C11"/>
    <w:rsid w:val="00667E41"/>
    <w:rsid w:val="00693DC0"/>
    <w:rsid w:val="006A5C22"/>
    <w:rsid w:val="006C0603"/>
    <w:rsid w:val="006D7589"/>
    <w:rsid w:val="006E42ED"/>
    <w:rsid w:val="00781D10"/>
    <w:rsid w:val="00797F63"/>
    <w:rsid w:val="007F6190"/>
    <w:rsid w:val="008126FF"/>
    <w:rsid w:val="008565DA"/>
    <w:rsid w:val="008C2266"/>
    <w:rsid w:val="00916B4E"/>
    <w:rsid w:val="00933605"/>
    <w:rsid w:val="009A3DF1"/>
    <w:rsid w:val="009C0950"/>
    <w:rsid w:val="00AC20DD"/>
    <w:rsid w:val="00B43495"/>
    <w:rsid w:val="00B63C42"/>
    <w:rsid w:val="00B779D3"/>
    <w:rsid w:val="00BD6337"/>
    <w:rsid w:val="00BF7A54"/>
    <w:rsid w:val="00C92A08"/>
    <w:rsid w:val="00CC25C1"/>
    <w:rsid w:val="00CD1612"/>
    <w:rsid w:val="00CE6DC7"/>
    <w:rsid w:val="00D80800"/>
    <w:rsid w:val="00DA0713"/>
    <w:rsid w:val="00DA468F"/>
    <w:rsid w:val="00E1401A"/>
    <w:rsid w:val="00E30FC0"/>
    <w:rsid w:val="00E65536"/>
    <w:rsid w:val="00E70B14"/>
    <w:rsid w:val="00EC155A"/>
    <w:rsid w:val="00EC6597"/>
    <w:rsid w:val="00ED0F28"/>
    <w:rsid w:val="00EE778C"/>
    <w:rsid w:val="00F2038D"/>
    <w:rsid w:val="00FA6B15"/>
    <w:rsid w:val="00FC2176"/>
    <w:rsid w:val="012845F2"/>
    <w:rsid w:val="020411DA"/>
    <w:rsid w:val="078059A9"/>
    <w:rsid w:val="0BB02391"/>
    <w:rsid w:val="0FBF64EC"/>
    <w:rsid w:val="16A843D2"/>
    <w:rsid w:val="1F0C74C8"/>
    <w:rsid w:val="21E40288"/>
    <w:rsid w:val="28B928B2"/>
    <w:rsid w:val="2E5844D8"/>
    <w:rsid w:val="30086767"/>
    <w:rsid w:val="39194863"/>
    <w:rsid w:val="3C5C74BA"/>
    <w:rsid w:val="3D477E67"/>
    <w:rsid w:val="46A14B5A"/>
    <w:rsid w:val="48477318"/>
    <w:rsid w:val="4A7C753F"/>
    <w:rsid w:val="55172147"/>
    <w:rsid w:val="559075D4"/>
    <w:rsid w:val="55FF50B5"/>
    <w:rsid w:val="569A3030"/>
    <w:rsid w:val="5E1A50C8"/>
    <w:rsid w:val="62015D11"/>
    <w:rsid w:val="63C74D38"/>
    <w:rsid w:val="6865349E"/>
    <w:rsid w:val="6B20545A"/>
    <w:rsid w:val="782048D4"/>
    <w:rsid w:val="7B6D3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4"/>
    <w:autoRedefine/>
    <w:qFormat/>
    <w:uiPriority w:val="0"/>
    <w:pPr>
      <w:keepNext/>
      <w:keepLines/>
      <w:spacing w:before="480" w:after="120" w:line="276" w:lineRule="auto"/>
      <w:jc w:val="left"/>
      <w:outlineLvl w:val="1"/>
    </w:pPr>
    <w:rPr>
      <w:rFonts w:eastAsia="黑体"/>
      <w:b/>
      <w:bCs/>
      <w:sz w:val="28"/>
      <w:szCs w:val="32"/>
      <w:lang w:val="zh-CN" w:eastAsia="zh-CN"/>
    </w:rPr>
  </w:style>
  <w:style w:type="paragraph" w:styleId="3">
    <w:name w:val="heading 3"/>
    <w:basedOn w:val="1"/>
    <w:next w:val="1"/>
    <w:link w:val="15"/>
    <w:autoRedefine/>
    <w:qFormat/>
    <w:uiPriority w:val="9"/>
    <w:pPr>
      <w:keepNext/>
      <w:keepLines/>
      <w:spacing w:before="240" w:after="120" w:line="360" w:lineRule="auto"/>
      <w:outlineLvl w:val="2"/>
    </w:pPr>
    <w:rPr>
      <w:rFonts w:eastAsia="黑体"/>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Balloon Text"/>
    <w:basedOn w:val="1"/>
    <w:link w:val="20"/>
    <w:semiHidden/>
    <w:unhideWhenUsed/>
    <w:qFormat/>
    <w:uiPriority w:val="99"/>
    <w:rPr>
      <w:sz w:val="18"/>
      <w:szCs w:val="18"/>
    </w:rPr>
  </w:style>
  <w:style w:type="paragraph" w:styleId="6">
    <w:name w:val="footer"/>
    <w:basedOn w:val="1"/>
    <w:link w:val="23"/>
    <w:unhideWhenUsed/>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lang w:val="zh-CN" w:eastAsia="zh-CN"/>
    </w:rPr>
  </w:style>
  <w:style w:type="paragraph" w:styleId="8">
    <w:name w:val="Normal (Web)"/>
    <w:basedOn w:val="1"/>
    <w:qFormat/>
    <w:uiPriority w:val="99"/>
    <w:pPr>
      <w:widowControl/>
      <w:spacing w:before="100" w:beforeAutospacing="1" w:after="100" w:afterAutospacing="1"/>
      <w:jc w:val="left"/>
    </w:pPr>
    <w:rPr>
      <w:rFonts w:ascii="宋体" w:hAnsi="宋体"/>
      <w:color w:val="000000"/>
      <w:kern w:val="0"/>
      <w:szCs w:val="21"/>
    </w:rPr>
  </w:style>
  <w:style w:type="character" w:styleId="11">
    <w:name w:val="Strong"/>
    <w:basedOn w:val="10"/>
    <w:qFormat/>
    <w:uiPriority w:val="22"/>
    <w:rPr>
      <w:b/>
      <w:bCs/>
    </w:rPr>
  </w:style>
  <w:style w:type="character" w:styleId="12">
    <w:name w:val="FollowedHyperlink"/>
    <w:basedOn w:val="10"/>
    <w:semiHidden/>
    <w:unhideWhenUsed/>
    <w:qFormat/>
    <w:uiPriority w:val="99"/>
    <w:rPr>
      <w:color w:val="800080" w:themeColor="followedHyperlink"/>
      <w:u w:val="single"/>
      <w14:textFill>
        <w14:solidFill>
          <w14:schemeClr w14:val="folHlink"/>
        </w14:solidFill>
      </w14:textFill>
    </w:rPr>
  </w:style>
  <w:style w:type="character" w:styleId="13">
    <w:name w:val="Hyperlink"/>
    <w:unhideWhenUsed/>
    <w:qFormat/>
    <w:uiPriority w:val="99"/>
    <w:rPr>
      <w:color w:val="136EC2"/>
      <w:u w:val="single"/>
    </w:rPr>
  </w:style>
  <w:style w:type="character" w:customStyle="1" w:styleId="14">
    <w:name w:val="标题 2 字符"/>
    <w:basedOn w:val="10"/>
    <w:link w:val="2"/>
    <w:qFormat/>
    <w:uiPriority w:val="0"/>
    <w:rPr>
      <w:rFonts w:ascii="Times New Roman" w:hAnsi="Times New Roman" w:eastAsia="黑体" w:cs="Times New Roman"/>
      <w:b/>
      <w:bCs/>
      <w:sz w:val="28"/>
      <w:szCs w:val="32"/>
      <w:lang w:val="zh-CN" w:eastAsia="zh-CN"/>
    </w:rPr>
  </w:style>
  <w:style w:type="character" w:customStyle="1" w:styleId="15">
    <w:name w:val="标题 3 字符"/>
    <w:basedOn w:val="10"/>
    <w:link w:val="3"/>
    <w:qFormat/>
    <w:uiPriority w:val="9"/>
    <w:rPr>
      <w:rFonts w:ascii="Times New Roman" w:hAnsi="Times New Roman" w:eastAsia="黑体" w:cs="Times New Roman"/>
      <w:bCs/>
      <w:sz w:val="28"/>
      <w:szCs w:val="28"/>
    </w:rPr>
  </w:style>
  <w:style w:type="character" w:customStyle="1" w:styleId="16">
    <w:name w:val="页眉 字符"/>
    <w:basedOn w:val="10"/>
    <w:link w:val="7"/>
    <w:qFormat/>
    <w:uiPriority w:val="99"/>
    <w:rPr>
      <w:rFonts w:ascii="Times New Roman" w:hAnsi="Times New Roman" w:eastAsia="宋体" w:cs="Times New Roman"/>
      <w:sz w:val="18"/>
      <w:szCs w:val="18"/>
      <w:lang w:val="zh-CN" w:eastAsia="zh-CN"/>
    </w:rPr>
  </w:style>
  <w:style w:type="character" w:customStyle="1" w:styleId="17">
    <w:name w:val="样式 宋体 小四"/>
    <w:qFormat/>
    <w:uiPriority w:val="99"/>
    <w:rPr>
      <w:rFonts w:ascii="Times New Roman" w:hAnsi="Times New Roman"/>
      <w:sz w:val="24"/>
    </w:rPr>
  </w:style>
  <w:style w:type="paragraph" w:styleId="18">
    <w:name w:val="List Paragraph"/>
    <w:basedOn w:val="1"/>
    <w:qFormat/>
    <w:uiPriority w:val="34"/>
    <w:pPr>
      <w:ind w:firstLine="420" w:firstLineChars="200"/>
    </w:pPr>
  </w:style>
  <w:style w:type="paragraph" w:customStyle="1" w:styleId="19">
    <w:name w:val="msolistparagraph"/>
    <w:basedOn w:val="1"/>
    <w:qFormat/>
    <w:uiPriority w:val="0"/>
    <w:pPr>
      <w:ind w:firstLine="420" w:firstLineChars="200"/>
    </w:pPr>
    <w:rPr>
      <w:rFonts w:ascii="等线" w:hAnsi="等线" w:eastAsia="等线"/>
      <w:szCs w:val="22"/>
    </w:rPr>
  </w:style>
  <w:style w:type="character" w:customStyle="1" w:styleId="20">
    <w:name w:val="批注框文本 字符"/>
    <w:basedOn w:val="10"/>
    <w:link w:val="5"/>
    <w:semiHidden/>
    <w:qFormat/>
    <w:uiPriority w:val="99"/>
    <w:rPr>
      <w:rFonts w:ascii="Times New Roman" w:hAnsi="Times New Roman" w:eastAsia="宋体" w:cs="Times New Roman"/>
      <w:sz w:val="18"/>
      <w:szCs w:val="18"/>
    </w:rPr>
  </w:style>
  <w:style w:type="character" w:customStyle="1" w:styleId="21">
    <w:name w:val="apple-converted-space"/>
    <w:basedOn w:val="10"/>
    <w:qFormat/>
    <w:uiPriority w:val="0"/>
  </w:style>
  <w:style w:type="character" w:customStyle="1" w:styleId="22">
    <w:name w:val="text-name"/>
    <w:basedOn w:val="10"/>
    <w:qFormat/>
    <w:uiPriority w:val="0"/>
  </w:style>
  <w:style w:type="character" w:customStyle="1" w:styleId="23">
    <w:name w:val="页脚 字符"/>
    <w:basedOn w:val="10"/>
    <w:link w:val="6"/>
    <w:qFormat/>
    <w:uiPriority w:val="99"/>
    <w:rPr>
      <w:rFonts w:ascii="Times New Roman" w:hAnsi="Times New Roman" w:eastAsia="宋体" w:cs="Times New Roman"/>
      <w:sz w:val="18"/>
      <w:szCs w:val="18"/>
    </w:rPr>
  </w:style>
  <w:style w:type="character" w:customStyle="1" w:styleId="24">
    <w:name w:val="Unresolved Mention"/>
    <w:basedOn w:val="10"/>
    <w:semiHidden/>
    <w:unhideWhenUsed/>
    <w:qFormat/>
    <w:uiPriority w:val="99"/>
    <w:rPr>
      <w:color w:val="605E5C"/>
      <w:shd w:val="clear" w:color="auto" w:fill="E1DFDD"/>
    </w:rPr>
  </w:style>
  <w:style w:type="paragraph" w:customStyle="1" w:styleId="25">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26">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table" w:customStyle="1" w:styleId="2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3A38F-375C-4383-A4A6-D8F1229E2D42}">
  <ds:schemaRefs/>
</ds:datastoreItem>
</file>

<file path=docProps/app.xml><?xml version="1.0" encoding="utf-8"?>
<Properties xmlns="http://schemas.openxmlformats.org/officeDocument/2006/extended-properties" xmlns:vt="http://schemas.openxmlformats.org/officeDocument/2006/docPropsVTypes">
  <Template>Normal</Template>
  <Pages>31</Pages>
  <Words>9765</Words>
  <Characters>11927</Characters>
  <Lines>117</Lines>
  <Paragraphs>33</Paragraphs>
  <TotalTime>2</TotalTime>
  <ScaleCrop>false</ScaleCrop>
  <LinksUpToDate>false</LinksUpToDate>
  <CharactersWithSpaces>12097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2022-09-05T08:12:00Z</dcterms:created>
  <dc:creator>dell</dc:creator>
  <cp:lastModifiedBy>清风儿</cp:lastModifiedBy>
  <dcterms:modified xsi:type="dcterms:W3CDTF">2025-09-19T02:44:52Z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eyJoZGlkIjoiNTZkNzIwM2NlZTY0YzMyODkwZWI5M2VlNmQyZjNmMjIiLCJ1c2VySWQiOiI3MTQ3MTk0MjQifQ==</vt:lpwstr>
  </property>
  <property fmtid="{D5CDD505-2E9C-101B-9397-08002B2CF9AE}" pid="3" name="KSOProductBuildVer">
    <vt:lpwstr>2052-12.1.0.22529</vt:lpwstr>
  </property>
  <property fmtid="{D5CDD505-2E9C-101B-9397-08002B2CF9AE}" pid="4" name="ICV">
    <vt:lpwstr>4853295191934D9FBE024A10CAF395F3_13</vt:lpwstr>
  </property>
</Properties>
</file>